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2000000">
      <w:pPr>
        <w:keepNext w:val="1"/>
        <w:ind/>
        <w:outlineLvl w:val="3"/>
        <w:rPr>
          <w:b w:val="1"/>
          <w:sz w:val="26"/>
        </w:rPr>
      </w:pPr>
    </w:p>
    <w:p w14:paraId="03000000">
      <w:pPr>
        <w:keepNext w:val="1"/>
        <w:ind/>
        <w:jc w:val="center"/>
        <w:outlineLvl w:val="3"/>
        <w:rPr>
          <w:b w:val="1"/>
          <w:sz w:val="26"/>
        </w:rPr>
      </w:pPr>
      <w:r>
        <w:rPr>
          <w:b w:val="1"/>
          <w:sz w:val="26"/>
        </w:rPr>
        <w:t>Проект</w:t>
      </w:r>
    </w:p>
    <w:p w14:paraId="04000000">
      <w:pPr>
        <w:ind/>
        <w:jc w:val="center"/>
        <w:rPr>
          <w:b w:val="1"/>
          <w:sz w:val="26"/>
        </w:rPr>
      </w:pPr>
      <w:r>
        <w:rPr>
          <w:b w:val="1"/>
          <w:sz w:val="26"/>
        </w:rPr>
        <w:t>Договор купли-продажи</w:t>
      </w:r>
      <w:r>
        <w:rPr>
          <w:b w:val="1"/>
          <w:sz w:val="26"/>
        </w:rPr>
        <w:t xml:space="preserve"> № ___</w:t>
      </w:r>
    </w:p>
    <w:p w14:paraId="05000000">
      <w:pPr>
        <w:ind/>
        <w:jc w:val="center"/>
        <w:rPr>
          <w:b w:val="1"/>
          <w:sz w:val="26"/>
        </w:rPr>
      </w:pPr>
      <w:r>
        <w:rPr>
          <w:b w:val="1"/>
          <w:sz w:val="26"/>
        </w:rPr>
        <w:t>________________________________________</w:t>
      </w:r>
    </w:p>
    <w:p w14:paraId="06000000">
      <w:pPr>
        <w:ind/>
        <w:jc w:val="center"/>
        <w:rPr>
          <w:i w:val="1"/>
          <w:sz w:val="22"/>
        </w:rPr>
      </w:pPr>
      <w:r>
        <w:rPr>
          <w:i w:val="1"/>
          <w:sz w:val="22"/>
        </w:rPr>
        <w:t>(наименование имущества)</w:t>
      </w:r>
    </w:p>
    <w:p w14:paraId="07000000">
      <w:pPr>
        <w:ind/>
        <w:jc w:val="center"/>
        <w:rPr>
          <w:sz w:val="26"/>
        </w:rPr>
      </w:pPr>
      <w:r>
        <w:rPr>
          <w:b w:val="1"/>
          <w:sz w:val="26"/>
        </w:rPr>
        <w:t xml:space="preserve">на </w:t>
      </w:r>
      <w:r>
        <w:rPr>
          <w:b w:val="1"/>
          <w:sz w:val="26"/>
        </w:rPr>
        <w:t>конкурсе</w:t>
      </w:r>
      <w:r>
        <w:rPr>
          <w:b w:val="1"/>
          <w:sz w:val="26"/>
        </w:rPr>
        <w:t xml:space="preserve"> </w:t>
      </w:r>
    </w:p>
    <w:p w14:paraId="08000000">
      <w:pPr>
        <w:ind/>
        <w:jc w:val="center"/>
        <w:rPr>
          <w:sz w:val="26"/>
        </w:rPr>
      </w:pPr>
    </w:p>
    <w:p w14:paraId="09000000">
      <w:pPr>
        <w:ind w:right="-48"/>
        <w:rPr>
          <w:sz w:val="26"/>
        </w:rPr>
      </w:pPr>
      <w:r>
        <w:rPr>
          <w:sz w:val="26"/>
        </w:rPr>
        <w:t xml:space="preserve">г. ____________                                                                         </w:t>
      </w:r>
      <w:r>
        <w:rPr>
          <w:sz w:val="26"/>
        </w:rPr>
        <w:t xml:space="preserve">         </w:t>
      </w:r>
      <w:r>
        <w:rPr>
          <w:sz w:val="26"/>
        </w:rPr>
        <w:t xml:space="preserve"> «___» _________ _____г.</w:t>
      </w:r>
    </w:p>
    <w:p w14:paraId="0A000000">
      <w:pPr>
        <w:ind/>
        <w:jc w:val="both"/>
        <w:rPr>
          <w:sz w:val="26"/>
        </w:rPr>
      </w:pPr>
    </w:p>
    <w:p w14:paraId="0B000000">
      <w:pPr>
        <w:ind w:firstLine="720" w:left="0"/>
        <w:jc w:val="both"/>
        <w:rPr>
          <w:rFonts w:ascii="Times New Roman" w:hAnsi="Times New Roman"/>
          <w:b w:val="0"/>
          <w:sz w:val="26"/>
        </w:rPr>
      </w:pPr>
      <w:r>
        <w:rPr>
          <w:rFonts w:ascii="Times New Roman" w:hAnsi="Times New Roman"/>
          <w:b w:val="0"/>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b w:val="0"/>
          <w:sz w:val="26"/>
        </w:rPr>
        <w:t>Алтайском крае и Республике Алтай</w:t>
      </w:r>
      <w:r>
        <w:rPr>
          <w:rFonts w:ascii="Times New Roman" w:hAnsi="Times New Roman"/>
          <w:b w:val="0"/>
          <w:sz w:val="26"/>
        </w:rPr>
        <w:t xml:space="preserve">, именуемое в дальнейшем </w:t>
      </w:r>
      <w:r>
        <w:rPr>
          <w:rFonts w:ascii="Times New Roman" w:hAnsi="Times New Roman"/>
          <w:b w:val="0"/>
          <w:sz w:val="26"/>
        </w:rPr>
        <w:t>«Продавец»</w:t>
      </w:r>
      <w:r>
        <w:rPr>
          <w:rFonts w:ascii="Times New Roman" w:hAnsi="Times New Roman"/>
          <w:b w:val="0"/>
          <w:sz w:val="26"/>
        </w:rPr>
        <w:t xml:space="preserve">, в лице____________, действующего (-ей) на основании </w:t>
      </w:r>
      <w:r>
        <w:rPr>
          <w:rFonts w:ascii="Times New Roman" w:hAnsi="Times New Roman"/>
          <w:b w:val="0"/>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b w:val="0"/>
          <w:sz w:val="26"/>
        </w:rPr>
        <w:t>п</w:t>
      </w:r>
      <w:r>
        <w:rPr>
          <w:rFonts w:ascii="Times New Roman" w:hAnsi="Times New Roman"/>
          <w:b w:val="0"/>
          <w:sz w:val="26"/>
        </w:rPr>
        <w:t xml:space="preserve">риказом Федерального агентства по управлению </w:t>
      </w:r>
      <w:r>
        <w:rPr>
          <w:rFonts w:ascii="Times New Roman" w:hAnsi="Times New Roman"/>
          <w:b w:val="0"/>
          <w:sz w:val="26"/>
        </w:rPr>
        <w:t xml:space="preserve">государственным имуществом от </w:t>
      </w:r>
      <w:r>
        <w:rPr>
          <w:rFonts w:ascii="Times New Roman" w:hAnsi="Times New Roman"/>
          <w:b w:val="0"/>
          <w:sz w:val="26"/>
        </w:rPr>
        <w:t>23.06.2023</w:t>
      </w:r>
      <w:r>
        <w:rPr>
          <w:rFonts w:ascii="Times New Roman" w:hAnsi="Times New Roman"/>
          <w:b w:val="0"/>
          <w:sz w:val="26"/>
        </w:rPr>
        <w:t xml:space="preserve"> № </w:t>
      </w:r>
      <w:r>
        <w:rPr>
          <w:rFonts w:ascii="Times New Roman" w:hAnsi="Times New Roman"/>
          <w:b w:val="0"/>
          <w:sz w:val="26"/>
        </w:rPr>
        <w:t>131</w:t>
      </w:r>
      <w:r>
        <w:rPr>
          <w:rFonts w:ascii="Times New Roman" w:hAnsi="Times New Roman"/>
          <w:b w:val="0"/>
          <w:sz w:val="26"/>
        </w:rPr>
        <w:t>, с одной стороны, и _____________________, именуемое (-</w:t>
      </w:r>
      <w:r>
        <w:rPr>
          <w:rFonts w:ascii="Times New Roman" w:hAnsi="Times New Roman"/>
          <w:b w:val="0"/>
          <w:sz w:val="26"/>
        </w:rPr>
        <w:t>ая</w:t>
      </w:r>
      <w:r>
        <w:rPr>
          <w:rFonts w:ascii="Times New Roman" w:hAnsi="Times New Roman"/>
          <w:b w:val="0"/>
          <w:sz w:val="26"/>
        </w:rPr>
        <w:t>, -</w:t>
      </w:r>
      <w:r>
        <w:rPr>
          <w:rFonts w:ascii="Times New Roman" w:hAnsi="Times New Roman"/>
          <w:b w:val="0"/>
          <w:sz w:val="26"/>
        </w:rPr>
        <w:t>ый</w:t>
      </w:r>
      <w:r>
        <w:rPr>
          <w:rFonts w:ascii="Times New Roman" w:hAnsi="Times New Roman"/>
          <w:b w:val="0"/>
          <w:sz w:val="26"/>
        </w:rPr>
        <w:t xml:space="preserve">) в дальнейшем </w:t>
      </w:r>
      <w:r>
        <w:rPr>
          <w:rFonts w:ascii="Times New Roman" w:hAnsi="Times New Roman"/>
          <w:b w:val="0"/>
          <w:sz w:val="26"/>
        </w:rPr>
        <w:t>«Покупатель»</w:t>
      </w:r>
      <w:r>
        <w:rPr>
          <w:rFonts w:ascii="Times New Roman" w:hAnsi="Times New Roman"/>
          <w:b w:val="0"/>
          <w:sz w:val="26"/>
        </w:rPr>
        <w:t xml:space="preserve">, в лице _________________________________, действующего (-ей) на основании ____________, с другой </w:t>
      </w:r>
      <w:r>
        <w:rPr>
          <w:rFonts w:ascii="Times New Roman" w:hAnsi="Times New Roman"/>
          <w:b w:val="0"/>
          <w:sz w:val="26"/>
        </w:rPr>
        <w:t xml:space="preserve">стороны, в соответствии с </w:t>
      </w:r>
      <w:r>
        <w:rPr>
          <w:rFonts w:ascii="Times New Roman" w:hAnsi="Times New Roman"/>
          <w:b w:val="0"/>
          <w:sz w:val="26"/>
        </w:rPr>
        <w:t xml:space="preserve">Гражданским кодексом Российской Федерации, </w:t>
      </w:r>
      <w:r>
        <w:rPr>
          <w:rFonts w:ascii="Times New Roman" w:hAnsi="Times New Roman"/>
          <w:b w:val="0"/>
          <w:sz w:val="26"/>
        </w:rPr>
        <w:t>Федеральным законом «О приватизации государственного и муниципального имущества» от 21.12.2001 № 1</w:t>
      </w:r>
      <w:r>
        <w:rPr>
          <w:rFonts w:ascii="Times New Roman" w:hAnsi="Times New Roman"/>
          <w:b w:val="0"/>
          <w:sz w:val="26"/>
        </w:rPr>
        <w:t xml:space="preserve">78-ФЗ, </w:t>
      </w:r>
      <w:r>
        <w:rPr>
          <w:rFonts w:ascii="Times New Roman" w:hAnsi="Times New Roman"/>
          <w:sz w:val="26"/>
        </w:rPr>
        <w:t>распоряжение</w:t>
      </w:r>
      <w:r>
        <w:rPr>
          <w:rFonts w:ascii="Times New Roman" w:hAnsi="Times New Roman"/>
          <w:sz w:val="26"/>
        </w:rPr>
        <w:t>м</w:t>
      </w:r>
      <w:r>
        <w:rPr>
          <w:rFonts w:ascii="Times New Roman" w:hAnsi="Times New Roman"/>
          <w:sz w:val="26"/>
        </w:rPr>
        <w:t xml:space="preserve"> </w:t>
      </w:r>
      <w:r>
        <w:rPr>
          <w:rFonts w:ascii="Times New Roman" w:hAnsi="Times New Roman"/>
          <w:sz w:val="26"/>
        </w:rPr>
        <w:t>Правительства</w:t>
      </w:r>
      <w:r>
        <w:rPr>
          <w:rFonts w:ascii="Times New Roman" w:hAnsi="Times New Roman"/>
          <w:sz w:val="26"/>
        </w:rPr>
        <w:t xml:space="preserve"> </w:t>
      </w:r>
      <w:r>
        <w:rPr>
          <w:rFonts w:ascii="Times New Roman" w:hAnsi="Times New Roman"/>
          <w:sz w:val="26"/>
        </w:rPr>
        <w:t>Российской</w:t>
      </w:r>
      <w:r>
        <w:rPr>
          <w:rFonts w:ascii="Times New Roman" w:hAnsi="Times New Roman"/>
          <w:sz w:val="26"/>
        </w:rPr>
        <w:t xml:space="preserve"> </w:t>
      </w:r>
      <w:r>
        <w:rPr>
          <w:rFonts w:ascii="Times New Roman" w:hAnsi="Times New Roman"/>
          <w:sz w:val="26"/>
        </w:rPr>
        <w:t>Федерации</w:t>
      </w:r>
      <w:r>
        <w:rPr>
          <w:rFonts w:ascii="Times New Roman" w:hAnsi="Times New Roman"/>
          <w:sz w:val="26"/>
        </w:rPr>
        <w:t xml:space="preserve"> </w:t>
      </w:r>
      <w:r>
        <w:rPr>
          <w:rFonts w:ascii="Times New Roman" w:hAnsi="Times New Roman"/>
          <w:sz w:val="26"/>
        </w:rPr>
        <w:t>от</w:t>
      </w:r>
      <w:r>
        <w:rPr>
          <w:rFonts w:ascii="Times New Roman" w:hAnsi="Times New Roman"/>
          <w:sz w:val="26"/>
        </w:rPr>
        <w:t xml:space="preserve"> </w:t>
      </w:r>
      <w:r>
        <w:rPr>
          <w:rFonts w:ascii="Times New Roman" w:hAnsi="Times New Roman"/>
          <w:sz w:val="26"/>
        </w:rPr>
        <w:t>31.12.2019</w:t>
      </w:r>
      <w:r>
        <w:rPr>
          <w:rFonts w:ascii="Times New Roman" w:hAnsi="Times New Roman"/>
          <w:sz w:val="26"/>
        </w:rPr>
        <w:t xml:space="preserve"> </w:t>
      </w:r>
      <w:r>
        <w:rPr>
          <w:rFonts w:ascii="Times New Roman" w:hAnsi="Times New Roman"/>
          <w:sz w:val="26"/>
        </w:rPr>
        <w:t>№3260-р</w:t>
      </w:r>
      <w:r>
        <w:rPr>
          <w:rFonts w:ascii="Times New Roman" w:hAnsi="Times New Roman"/>
          <w:sz w:val="26"/>
        </w:rPr>
        <w:t xml:space="preserve"> «</w:t>
      </w:r>
      <w:r>
        <w:rPr>
          <w:rFonts w:ascii="Times New Roman" w:hAnsi="Times New Roman"/>
          <w:b w:val="0"/>
          <w:i w:val="0"/>
          <w:caps w:val="0"/>
          <w:color w:val="000000"/>
          <w:spacing w:val="-4"/>
          <w:sz w:val="26"/>
        </w:rPr>
        <w:t>Об утверждении прогнозного плана приватизации федерального имущества и основных направлений приватизации федерального имущества на 2024 - 2026 годы»</w:t>
      </w:r>
      <w:r>
        <w:rPr>
          <w:rFonts w:ascii="Times New Roman" w:hAnsi="Times New Roman"/>
          <w:sz w:val="26"/>
        </w:rPr>
        <w:t>,</w:t>
      </w:r>
      <w:r>
        <w:rPr>
          <w:rFonts w:ascii="Times New Roman" w:hAnsi="Times New Roman"/>
          <w:sz w:val="26"/>
        </w:rPr>
        <w:t xml:space="preserve"> </w:t>
      </w:r>
      <w:r>
        <w:rPr>
          <w:rFonts w:ascii="Times New Roman" w:hAnsi="Times New Roman"/>
          <w:b w:val="0"/>
          <w:sz w:val="26"/>
        </w:rPr>
        <w:t>по</w:t>
      </w:r>
      <w:r>
        <w:rPr>
          <w:rFonts w:ascii="Times New Roman" w:hAnsi="Times New Roman"/>
          <w:b w:val="0"/>
          <w:sz w:val="26"/>
        </w:rPr>
        <w:t xml:space="preserve">становлением Правительства Российской Федерации от 27.08.2012 № 860 «Об организации и проведении продажи государственного или муниципального имущества», </w:t>
      </w:r>
      <w:r>
        <w:rPr>
          <w:rFonts w:ascii="Times New Roman" w:hAnsi="Times New Roman"/>
          <w:b w:val="0"/>
          <w:sz w:val="26"/>
        </w:rPr>
        <w:t xml:space="preserve">положениями информационного сообщения о продаже </w:t>
      </w:r>
      <w:r>
        <w:rPr>
          <w:rFonts w:ascii="Times New Roman" w:hAnsi="Times New Roman"/>
          <w:b w:val="0"/>
          <w:color w:val="000000"/>
          <w:sz w:val="26"/>
        </w:rPr>
        <w:t xml:space="preserve">дамбы земляной, кадастровый номер 22:65:011713:44206, расположенной по адресу: </w:t>
      </w:r>
      <w:r>
        <w:rPr>
          <w:rFonts w:ascii="Times New Roman" w:hAnsi="Times New Roman"/>
          <w:b w:val="0"/>
          <w:color w:val="000000"/>
          <w:sz w:val="26"/>
        </w:rPr>
        <w:t xml:space="preserve">Алтайский край, г. Бийск, ул. Песчаный Карьер, д. 54а (РФИ П12220001601), </w:t>
      </w:r>
      <w:r>
        <w:rPr>
          <w:rFonts w:ascii="Times New Roman" w:hAnsi="Times New Roman"/>
          <w:b w:val="0"/>
          <w:color w:val="000000"/>
          <w:sz w:val="26"/>
        </w:rPr>
        <w:t>в электронной форме</w:t>
      </w:r>
      <w:r>
        <w:rPr>
          <w:rFonts w:ascii="Times New Roman" w:hAnsi="Times New Roman"/>
          <w:b w:val="0"/>
          <w:i w:val="1"/>
          <w:sz w:val="26"/>
        </w:rPr>
        <w:t>,</w:t>
      </w:r>
      <w:r>
        <w:rPr>
          <w:rFonts w:ascii="Times New Roman" w:hAnsi="Times New Roman"/>
          <w:b w:val="0"/>
          <w:i w:val="1"/>
          <w:sz w:val="26"/>
        </w:rPr>
        <w:t xml:space="preserve"> </w:t>
      </w:r>
      <w:r>
        <w:rPr>
          <w:rFonts w:ascii="Times New Roman" w:hAnsi="Times New Roman"/>
          <w:b w:val="0"/>
          <w:sz w:val="26"/>
        </w:rPr>
        <w:t>опубликованного на сайте Росимущества в сети «Интернет» www.rosim.ru, официальном сайте Российской Федерации в сети «Интернет» www.torgi.gov.ru (далее – «Информационное сообщение»)</w:t>
      </w:r>
      <w:r>
        <w:rPr>
          <w:rFonts w:ascii="Times New Roman" w:hAnsi="Times New Roman"/>
          <w:b w:val="0"/>
          <w:sz w:val="26"/>
        </w:rPr>
        <w:t xml:space="preserve"> </w:t>
      </w:r>
      <w:r>
        <w:rPr>
          <w:rFonts w:ascii="Times New Roman" w:hAnsi="Times New Roman"/>
          <w:b w:val="0"/>
          <w:sz w:val="26"/>
        </w:rPr>
        <w:t xml:space="preserve">и на основании Протокола от «___»___________г. №___ об итогах </w:t>
      </w:r>
      <w:r>
        <w:rPr>
          <w:rFonts w:ascii="Times New Roman" w:hAnsi="Times New Roman"/>
          <w:b w:val="0"/>
          <w:sz w:val="26"/>
        </w:rPr>
        <w:t>конкурса</w:t>
      </w:r>
      <w:r>
        <w:rPr>
          <w:rFonts w:ascii="Times New Roman" w:hAnsi="Times New Roman"/>
          <w:b w:val="0"/>
          <w:sz w:val="26"/>
        </w:rPr>
        <w:t xml:space="preserve"> по продаже </w:t>
      </w:r>
      <w:r>
        <w:rPr>
          <w:rFonts w:ascii="Times New Roman" w:hAnsi="Times New Roman"/>
          <w:b w:val="0"/>
          <w:color w:val="000000"/>
          <w:sz w:val="26"/>
        </w:rPr>
        <w:t xml:space="preserve">дамбы земляной, кадастровый номер 22:65:011713:44206, расположенной по адресу: </w:t>
      </w:r>
      <w:r>
        <w:rPr>
          <w:rFonts w:ascii="Times New Roman" w:hAnsi="Times New Roman"/>
          <w:b w:val="0"/>
          <w:color w:val="000000"/>
          <w:sz w:val="26"/>
        </w:rPr>
        <w:t xml:space="preserve">Алтайский край, г. Бийск, ул. Песчаный Карьер, д. 54а (РФИ П12220001601), </w:t>
      </w:r>
      <w:r>
        <w:rPr>
          <w:rFonts w:ascii="Times New Roman" w:hAnsi="Times New Roman"/>
          <w:b w:val="0"/>
          <w:color w:val="000000"/>
          <w:sz w:val="26"/>
        </w:rPr>
        <w:t>в электронной форме</w:t>
      </w:r>
      <w:r>
        <w:rPr>
          <w:rFonts w:ascii="Times New Roman" w:hAnsi="Times New Roman"/>
          <w:b w:val="0"/>
          <w:sz w:val="26"/>
        </w:rPr>
        <w:t xml:space="preserve"> (далее – «</w:t>
      </w:r>
      <w:r>
        <w:rPr>
          <w:rFonts w:ascii="Times New Roman" w:hAnsi="Times New Roman"/>
          <w:b w:val="0"/>
          <w:sz w:val="26"/>
        </w:rPr>
        <w:t>Конкурс</w:t>
      </w:r>
      <w:r>
        <w:rPr>
          <w:rFonts w:ascii="Times New Roman" w:hAnsi="Times New Roman"/>
          <w:b w:val="0"/>
          <w:sz w:val="26"/>
        </w:rPr>
        <w:t>») заключили настоящий Договор (далее – «настоящий Договор», «Договор») о нижеследующем.</w:t>
      </w:r>
    </w:p>
    <w:p w14:paraId="0C000000">
      <w:pPr>
        <w:ind/>
        <w:jc w:val="center"/>
        <w:rPr>
          <w:sz w:val="26"/>
        </w:rPr>
      </w:pPr>
    </w:p>
    <w:p w14:paraId="0D000000">
      <w:pPr>
        <w:ind/>
        <w:jc w:val="center"/>
        <w:rPr>
          <w:b w:val="1"/>
          <w:sz w:val="26"/>
        </w:rPr>
      </w:pPr>
      <w:r>
        <w:rPr>
          <w:b w:val="1"/>
          <w:sz w:val="26"/>
        </w:rPr>
        <w:t>Статья 1. Предмет Договора</w:t>
      </w:r>
    </w:p>
    <w:p w14:paraId="0E000000">
      <w:pPr>
        <w:ind/>
        <w:jc w:val="center"/>
        <w:rPr>
          <w:b w:val="1"/>
          <w:sz w:val="26"/>
        </w:rPr>
      </w:pPr>
    </w:p>
    <w:p w14:paraId="0F000000">
      <w:pPr>
        <w:ind w:firstLine="720" w:left="0"/>
        <w:jc w:val="both"/>
        <w:rPr>
          <w:b w:val="0"/>
          <w:sz w:val="26"/>
        </w:rPr>
      </w:pPr>
      <w:r>
        <w:rPr>
          <w:b w:val="0"/>
          <w:sz w:val="26"/>
        </w:rPr>
        <w:t xml:space="preserve">1.1. Предметом купли-продажи по настоящему Договору является </w:t>
      </w:r>
      <w:r>
        <w:rPr>
          <w:rFonts w:ascii="Times New Roman" w:hAnsi="Times New Roman"/>
          <w:b w:val="0"/>
          <w:color w:val="000000"/>
          <w:sz w:val="26"/>
        </w:rPr>
        <w:t xml:space="preserve">дамба земляная, кадастровый номер 22:65:011713:44206, расположенная по адресу: </w:t>
      </w:r>
      <w:r>
        <w:rPr>
          <w:rFonts w:ascii="Times New Roman" w:hAnsi="Times New Roman"/>
          <w:b w:val="0"/>
          <w:color w:val="000000"/>
          <w:sz w:val="26"/>
        </w:rPr>
        <w:t xml:space="preserve">Алтайский край, г. Бийск, ул. Песчаный Карьер, д. 54а (РФИ П12220001601), </w:t>
      </w:r>
      <w:r>
        <w:rPr>
          <w:b w:val="0"/>
          <w:sz w:val="26"/>
        </w:rPr>
        <w:t>принадлежащая на праве собственности Российской Федерации.</w:t>
      </w:r>
    </w:p>
    <w:p w14:paraId="10000000">
      <w:pPr>
        <w:ind w:firstLine="720" w:left="0"/>
        <w:jc w:val="both"/>
        <w:rPr>
          <w:b w:val="0"/>
          <w:sz w:val="26"/>
        </w:rPr>
      </w:pPr>
      <w:r>
        <w:rPr>
          <w:b w:val="0"/>
          <w:sz w:val="26"/>
        </w:rPr>
        <w:t xml:space="preserve">1.2. Сведения о </w:t>
      </w:r>
      <w:r>
        <w:rPr>
          <w:rFonts w:ascii="Times New Roman" w:hAnsi="Times New Roman"/>
          <w:b w:val="0"/>
          <w:color w:val="000000"/>
          <w:sz w:val="26"/>
        </w:rPr>
        <w:t xml:space="preserve">дамбе земляной, кадастровый номер 22:65:011713:44206, расположенной по адресу: </w:t>
      </w:r>
      <w:r>
        <w:rPr>
          <w:rFonts w:ascii="Times New Roman" w:hAnsi="Times New Roman"/>
          <w:b w:val="0"/>
          <w:color w:val="000000"/>
          <w:sz w:val="26"/>
        </w:rPr>
        <w:t>Алтайский край, г. Бийск, ул. Песчаный Карьер, д. 54а (РФИ П12220001601) (</w:t>
      </w:r>
      <w:r>
        <w:rPr>
          <w:b w:val="0"/>
          <w:sz w:val="26"/>
        </w:rPr>
        <w:t xml:space="preserve">далее – </w:t>
      </w:r>
      <w:r>
        <w:rPr>
          <w:b w:val="0"/>
          <w:sz w:val="26"/>
        </w:rPr>
        <w:t>Имущество</w:t>
      </w:r>
      <w:r>
        <w:rPr>
          <w:b w:val="0"/>
          <w:sz w:val="26"/>
        </w:rPr>
        <w:t>):</w:t>
      </w:r>
    </w:p>
    <w:p w14:paraId="11000000">
      <w:pPr>
        <w:widowControl w:val="0"/>
        <w:ind w:firstLine="720" w:left="0"/>
        <w:jc w:val="both"/>
        <w:rPr>
          <w:sz w:val="26"/>
        </w:rPr>
      </w:pPr>
      <w:r>
        <w:rPr>
          <w:sz w:val="26"/>
        </w:rPr>
        <w:t>1.2.1________________________</w:t>
      </w:r>
      <w:r>
        <w:rPr>
          <w:sz w:val="26"/>
        </w:rPr>
        <w:t>_(</w:t>
      </w:r>
      <w:r>
        <w:rPr>
          <w:sz w:val="26"/>
        </w:rPr>
        <w:t>основание возникновения права собственности).</w:t>
      </w:r>
    </w:p>
    <w:p w14:paraId="12000000">
      <w:pPr>
        <w:widowControl w:val="0"/>
        <w:ind w:firstLine="720" w:left="0"/>
        <w:jc w:val="both"/>
        <w:rPr>
          <w:sz w:val="26"/>
        </w:rPr>
      </w:pPr>
      <w:r>
        <w:rPr>
          <w:sz w:val="26"/>
        </w:rPr>
        <w:t>1.2.2. _______________________</w:t>
      </w:r>
      <w:r>
        <w:rPr>
          <w:sz w:val="26"/>
        </w:rPr>
        <w:t>_(</w:t>
      </w:r>
      <w:r>
        <w:rPr>
          <w:sz w:val="26"/>
        </w:rPr>
        <w:t>физические характеристики объекта недвижимости, позволяющие его идентифицировать).</w:t>
      </w:r>
    </w:p>
    <w:p w14:paraId="13000000">
      <w:pPr>
        <w:ind w:firstLine="720" w:left="0"/>
        <w:jc w:val="both"/>
        <w:rPr>
          <w:sz w:val="26"/>
        </w:rPr>
      </w:pPr>
      <w:r>
        <w:rPr>
          <w:sz w:val="26"/>
        </w:rPr>
        <w:t>1.2.3. Обременения:</w:t>
      </w:r>
    </w:p>
    <w:p w14:paraId="14000000">
      <w:pPr>
        <w:ind w:firstLine="720" w:left="0"/>
        <w:jc w:val="both"/>
        <w:rPr>
          <w:sz w:val="26"/>
        </w:rPr>
      </w:pPr>
      <w:r>
        <w:rPr>
          <w:sz w:val="26"/>
        </w:rPr>
        <w:t>-</w:t>
      </w:r>
    </w:p>
    <w:p w14:paraId="15000000">
      <w:pPr>
        <w:ind w:firstLine="720" w:left="0"/>
        <w:jc w:val="both"/>
        <w:rPr>
          <w:sz w:val="26"/>
        </w:rPr>
      </w:pPr>
      <w:r>
        <w:rPr>
          <w:sz w:val="26"/>
        </w:rPr>
        <w:t>_____________________________________________________________________</w:t>
      </w:r>
    </w:p>
    <w:p w14:paraId="16000000">
      <w:pPr>
        <w:ind w:firstLine="720" w:left="0"/>
        <w:jc w:val="both"/>
        <w:rPr>
          <w:sz w:val="26"/>
        </w:rPr>
      </w:pPr>
      <w:r>
        <w:rPr>
          <w:sz w:val="26"/>
        </w:rPr>
        <w:t>- бессрочное обязательство по использованию Имущества в целях обслуживания пассажиров и судов, погрузки, выгрузки, приема, хранения и выдачи грузов, взаимодействия с другими видами транспорта. Прекращение обременения, а также изменение его условий допускается в случаях и в порядке, которые установлены Правительством Российской Федерации, по решению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внутреннего водного транспорта (п. 1 ст. 30.3 от 21.12.2001 г. № 178-ФЗ (ред. от 02.08.2019) «О приватизации государственного и</w:t>
      </w:r>
      <w:r>
        <w:rPr>
          <w:sz w:val="26"/>
        </w:rPr>
        <w:t xml:space="preserve"> муниципального имущества»).</w:t>
      </w:r>
    </w:p>
    <w:p w14:paraId="17000000">
      <w:pPr>
        <w:tabs>
          <w:tab w:leader="none" w:pos="284" w:val="clear"/>
        </w:tabs>
        <w:ind w:firstLine="709" w:left="0"/>
        <w:jc w:val="both"/>
        <w:rPr>
          <w:rFonts w:ascii="Times New Roman" w:hAnsi="Times New Roman"/>
          <w:sz w:val="26"/>
        </w:rPr>
      </w:pPr>
      <w:r>
        <w:rPr>
          <w:rFonts w:ascii="Times New Roman" w:hAnsi="Times New Roman"/>
          <w:sz w:val="26"/>
        </w:rPr>
        <w:t>1.2.4.</w:t>
      </w:r>
      <w:r>
        <w:rPr>
          <w:rFonts w:ascii="Times New Roman" w:hAnsi="Times New Roman"/>
          <w:sz w:val="26"/>
        </w:rPr>
        <w:t>Имущество</w:t>
      </w:r>
      <w:r>
        <w:rPr>
          <w:rFonts w:ascii="Times New Roman" w:hAnsi="Times New Roman"/>
          <w:sz w:val="26"/>
        </w:rPr>
        <w:t xml:space="preserve"> расположен</w:t>
      </w:r>
      <w:r>
        <w:rPr>
          <w:rFonts w:ascii="Times New Roman" w:hAnsi="Times New Roman"/>
          <w:sz w:val="26"/>
        </w:rPr>
        <w:t>о</w:t>
      </w:r>
      <w:r>
        <w:rPr>
          <w:rFonts w:ascii="Times New Roman" w:hAnsi="Times New Roman"/>
          <w:sz w:val="26"/>
        </w:rPr>
        <w:t xml:space="preserve"> </w:t>
      </w:r>
      <w:r>
        <w:rPr>
          <w:rFonts w:ascii="Times New Roman" w:hAnsi="Times New Roman"/>
          <w:sz w:val="26"/>
        </w:rPr>
        <w:t xml:space="preserve">на земельном участке с кадастровым номером 22:65:016601:16, категория земель: земли населенных пунктов, вид разрешенного использования: Земельные участки, предназначены для разработки полезных ископаемых, размещения автомобильных дорог, искусственно созданных водных путей, причалов, пристаней. </w:t>
      </w:r>
      <w:r>
        <w:rPr>
          <w:rFonts w:ascii="Times New Roman" w:hAnsi="Times New Roman"/>
          <w:sz w:val="26"/>
        </w:rPr>
        <w:t xml:space="preserve">Указанный земельный участок находится в собственности Российской Федерации. </w:t>
      </w:r>
    </w:p>
    <w:p w14:paraId="18000000">
      <w:pPr>
        <w:tabs>
          <w:tab w:leader="none" w:pos="284" w:val="clear"/>
        </w:tabs>
        <w:ind w:firstLine="709" w:left="0"/>
        <w:jc w:val="both"/>
        <w:rPr>
          <w:rFonts w:ascii="Times New Roman" w:hAnsi="Times New Roman"/>
          <w:sz w:val="26"/>
        </w:rPr>
      </w:pPr>
      <w:r>
        <w:rPr>
          <w:rFonts w:ascii="Times New Roman" w:hAnsi="Times New Roman"/>
          <w:sz w:val="26"/>
        </w:rPr>
        <w:t>Имущество передается Покупателю</w:t>
      </w:r>
      <w:r>
        <w:rPr>
          <w:rFonts w:ascii="Times New Roman" w:hAnsi="Times New Roman"/>
          <w:sz w:val="26"/>
        </w:rPr>
        <w:t xml:space="preserve"> без земельн</w:t>
      </w:r>
      <w:r>
        <w:rPr>
          <w:rFonts w:ascii="Times New Roman" w:hAnsi="Times New Roman"/>
          <w:sz w:val="26"/>
        </w:rPr>
        <w:t>ого</w:t>
      </w:r>
      <w:r>
        <w:rPr>
          <w:rFonts w:ascii="Times New Roman" w:hAnsi="Times New Roman"/>
          <w:sz w:val="26"/>
        </w:rPr>
        <w:t xml:space="preserve"> участк</w:t>
      </w:r>
      <w:r>
        <w:rPr>
          <w:rFonts w:ascii="Times New Roman" w:hAnsi="Times New Roman"/>
          <w:sz w:val="26"/>
        </w:rPr>
        <w:t>а</w:t>
      </w:r>
      <w:r>
        <w:rPr>
          <w:rFonts w:ascii="Times New Roman" w:hAnsi="Times New Roman"/>
          <w:sz w:val="26"/>
        </w:rPr>
        <w:t>, занимаем</w:t>
      </w:r>
      <w:r>
        <w:rPr>
          <w:rFonts w:ascii="Times New Roman" w:hAnsi="Times New Roman"/>
          <w:sz w:val="26"/>
        </w:rPr>
        <w:t>ого им. В</w:t>
      </w:r>
      <w:r>
        <w:rPr>
          <w:rFonts w:ascii="Times New Roman" w:hAnsi="Times New Roman"/>
          <w:sz w:val="26"/>
        </w:rPr>
        <w:t xml:space="preserve"> соответствии с </w:t>
      </w:r>
      <w:r>
        <w:rPr>
          <w:rFonts w:ascii="Times New Roman" w:hAnsi="Times New Roman"/>
          <w:sz w:val="26"/>
        </w:rPr>
        <w:t xml:space="preserve">пп.7 </w:t>
      </w:r>
      <w:r>
        <w:rPr>
          <w:rFonts w:ascii="Times New Roman" w:hAnsi="Times New Roman"/>
          <w:sz w:val="26"/>
        </w:rPr>
        <w:t xml:space="preserve">п. 5 ст. 27, п. 4 ст. 35 Земельного кодекса </w:t>
      </w:r>
      <w:r>
        <w:rPr>
          <w:rFonts w:ascii="Times New Roman" w:hAnsi="Times New Roman"/>
          <w:sz w:val="26"/>
        </w:rPr>
        <w:t>Российской Федерации и п. 8 ст. 28 Федерального закона № 178-ФЗ</w:t>
      </w:r>
      <w:r>
        <w:rPr>
          <w:rFonts w:ascii="Times New Roman" w:hAnsi="Times New Roman"/>
          <w:sz w:val="26"/>
        </w:rPr>
        <w:t xml:space="preserve"> </w:t>
      </w:r>
      <w:r>
        <w:rPr>
          <w:rFonts w:ascii="Times New Roman" w:hAnsi="Times New Roman"/>
          <w:sz w:val="26"/>
        </w:rPr>
        <w:t>от 21.12.2001 «</w:t>
      </w:r>
      <w:r>
        <w:rPr>
          <w:rFonts w:ascii="Times New Roman" w:hAnsi="Times New Roman"/>
          <w:sz w:val="26"/>
        </w:rPr>
        <w:t>О приватизации государственного и муниципального имущества»</w:t>
      </w:r>
      <w:r>
        <w:rPr>
          <w:rFonts w:ascii="Times New Roman" w:hAnsi="Times New Roman"/>
          <w:sz w:val="26"/>
        </w:rPr>
        <w:t xml:space="preserve"> </w:t>
      </w:r>
      <w:r>
        <w:rPr>
          <w:rFonts w:ascii="Times New Roman" w:hAnsi="Times New Roman"/>
          <w:sz w:val="26"/>
        </w:rPr>
        <w:t xml:space="preserve">ограничиваются в обороте находящиеся в государственной или муниципальной собственности земельные участки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w:t>
      </w:r>
      <w:r>
        <w:rPr>
          <w:rFonts w:ascii="Times New Roman" w:hAnsi="Times New Roman"/>
          <w:sz w:val="26"/>
        </w:rPr>
        <w:t xml:space="preserve">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 </w:t>
      </w:r>
    </w:p>
    <w:p w14:paraId="19000000">
      <w:pPr>
        <w:tabs>
          <w:tab w:leader="none" w:pos="284" w:val="clear"/>
        </w:tabs>
        <w:ind w:firstLine="709" w:left="0"/>
        <w:jc w:val="both"/>
        <w:rPr>
          <w:rFonts w:ascii="Times New Roman" w:hAnsi="Times New Roman"/>
          <w:sz w:val="24"/>
        </w:rPr>
      </w:pPr>
      <w:r>
        <w:rPr>
          <w:rFonts w:ascii="Times New Roman" w:hAnsi="Times New Roman"/>
          <w:sz w:val="26"/>
        </w:rPr>
        <w:t xml:space="preserve">Покупатель </w:t>
      </w:r>
      <w:r>
        <w:rPr>
          <w:rFonts w:ascii="Times New Roman" w:hAnsi="Times New Roman"/>
          <w:sz w:val="26"/>
        </w:rPr>
        <w:t xml:space="preserve">в течение 30 дней с даты подписания настоящего Договора </w:t>
      </w:r>
      <w:r>
        <w:rPr>
          <w:rFonts w:ascii="Times New Roman" w:hAnsi="Times New Roman"/>
          <w:sz w:val="26"/>
        </w:rPr>
        <w:t xml:space="preserve">обязан </w:t>
      </w:r>
      <w:r>
        <w:rPr>
          <w:rFonts w:ascii="Times New Roman" w:hAnsi="Times New Roman"/>
          <w:sz w:val="26"/>
        </w:rPr>
        <w:t xml:space="preserve">обратиться </w:t>
      </w:r>
      <w:r>
        <w:rPr>
          <w:rFonts w:ascii="Times New Roman" w:hAnsi="Times New Roman"/>
          <w:sz w:val="26"/>
        </w:rPr>
        <w:t>в адрес</w:t>
      </w:r>
      <w:r>
        <w:rPr>
          <w:rFonts w:ascii="Times New Roman" w:hAnsi="Times New Roman"/>
          <w:sz w:val="26"/>
        </w:rPr>
        <w:t xml:space="preserve"> Продавца </w:t>
      </w:r>
      <w:r>
        <w:rPr>
          <w:rFonts w:ascii="Times New Roman" w:hAnsi="Times New Roman"/>
          <w:sz w:val="26"/>
        </w:rPr>
        <w:t>с заявлением о предоставлении земельного участка в аренду.</w:t>
      </w:r>
      <w:r>
        <w:rPr>
          <w:rFonts w:ascii="XO Thames" w:hAnsi="XO Thames"/>
          <w:sz w:val="26"/>
        </w:rPr>
        <w:t xml:space="preserve"> </w:t>
      </w:r>
    </w:p>
    <w:p w14:paraId="1A000000">
      <w:pPr>
        <w:ind w:firstLine="720" w:left="0"/>
        <w:jc w:val="both"/>
        <w:rPr>
          <w:b w:val="1"/>
          <w:sz w:val="26"/>
        </w:rPr>
      </w:pPr>
    </w:p>
    <w:p w14:paraId="1B000000">
      <w:pPr>
        <w:ind w:firstLine="720" w:left="0"/>
        <w:jc w:val="both"/>
        <w:rPr>
          <w:sz w:val="26"/>
          <w:highlight w:val="yellow"/>
        </w:rPr>
      </w:pPr>
    </w:p>
    <w:p w14:paraId="1C000000">
      <w:pPr>
        <w:ind/>
        <w:jc w:val="center"/>
        <w:rPr>
          <w:b w:val="1"/>
          <w:sz w:val="26"/>
        </w:rPr>
      </w:pPr>
      <w:r>
        <w:rPr>
          <w:b w:val="1"/>
          <w:sz w:val="26"/>
        </w:rPr>
        <w:t>Статья 2. Обязательства Сторон</w:t>
      </w:r>
    </w:p>
    <w:p w14:paraId="1D000000">
      <w:pPr>
        <w:ind/>
        <w:jc w:val="center"/>
        <w:rPr>
          <w:b w:val="1"/>
          <w:sz w:val="26"/>
        </w:rPr>
      </w:pPr>
    </w:p>
    <w:p w14:paraId="1E000000">
      <w:pPr>
        <w:ind w:firstLine="720" w:left="0"/>
        <w:jc w:val="both"/>
        <w:rPr>
          <w:sz w:val="26"/>
        </w:rPr>
      </w:pPr>
      <w:r>
        <w:rPr>
          <w:sz w:val="26"/>
        </w:rPr>
        <w:t>2.1. Стороны по настоящему Договору обязуются:</w:t>
      </w:r>
    </w:p>
    <w:p w14:paraId="1F000000">
      <w:pPr>
        <w:ind w:firstLine="720" w:left="0"/>
        <w:jc w:val="both"/>
        <w:rPr>
          <w:sz w:val="26"/>
        </w:rPr>
      </w:pPr>
      <w:r>
        <w:rPr>
          <w:sz w:val="26"/>
        </w:rPr>
        <w:t>2.1.1. Покупатель:</w:t>
      </w:r>
    </w:p>
    <w:p w14:paraId="20000000">
      <w:pPr>
        <w:numPr>
          <w:ilvl w:val="0"/>
          <w:numId w:val="1"/>
        </w:numPr>
        <w:tabs>
          <w:tab w:leader="none" w:pos="1080" w:val="left"/>
        </w:tabs>
        <w:ind w:firstLine="720" w:left="0"/>
        <w:jc w:val="both"/>
        <w:rPr>
          <w:sz w:val="26"/>
        </w:rPr>
      </w:pPr>
      <w:r>
        <w:rPr>
          <w:sz w:val="26"/>
        </w:rPr>
        <w:t xml:space="preserve">произвести оплату </w:t>
      </w:r>
      <w:r>
        <w:rPr>
          <w:sz w:val="26"/>
        </w:rPr>
        <w:t xml:space="preserve">Имущества </w:t>
      </w:r>
      <w:r>
        <w:rPr>
          <w:sz w:val="26"/>
        </w:rPr>
        <w:t>в сумме и на условиях, установленных в статье 3 настоящего Договора;</w:t>
      </w:r>
    </w:p>
    <w:p w14:paraId="21000000">
      <w:pPr>
        <w:numPr>
          <w:ilvl w:val="0"/>
          <w:numId w:val="1"/>
        </w:numPr>
        <w:tabs>
          <w:tab w:leader="none" w:pos="1080" w:val="left"/>
        </w:tabs>
        <w:ind w:firstLine="720" w:left="0"/>
        <w:jc w:val="both"/>
        <w:rPr>
          <w:sz w:val="26"/>
        </w:rPr>
      </w:pPr>
      <w:r>
        <w:rPr>
          <w:sz w:val="26"/>
        </w:rPr>
        <w:t xml:space="preserve">принять </w:t>
      </w:r>
      <w:r>
        <w:rPr>
          <w:sz w:val="26"/>
        </w:rPr>
        <w:t>Имущество</w:t>
      </w:r>
      <w:r>
        <w:rPr>
          <w:sz w:val="26"/>
        </w:rPr>
        <w:t xml:space="preserve"> в собственность;</w:t>
      </w:r>
    </w:p>
    <w:p w14:paraId="22000000">
      <w:pPr>
        <w:numPr>
          <w:numId w:val="1"/>
        </w:numPr>
        <w:tabs>
          <w:tab w:leader="none" w:pos="284" w:val="clear"/>
        </w:tabs>
        <w:ind w:firstLine="709" w:left="0"/>
        <w:jc w:val="both"/>
        <w:rPr>
          <w:rFonts w:ascii="Times New Roman" w:hAnsi="Times New Roman"/>
          <w:sz w:val="24"/>
        </w:rPr>
      </w:pPr>
      <w:r>
        <w:rPr>
          <w:rFonts w:ascii="Times New Roman" w:hAnsi="Times New Roman"/>
          <w:sz w:val="26"/>
        </w:rPr>
        <w:t xml:space="preserve"> </w:t>
      </w:r>
      <w:r>
        <w:rPr>
          <w:rFonts w:ascii="Times New Roman" w:hAnsi="Times New Roman"/>
          <w:sz w:val="26"/>
        </w:rPr>
        <w:t xml:space="preserve">в течение 30 дней с даты подписания настоящего Договора </w:t>
      </w:r>
      <w:r>
        <w:rPr>
          <w:rFonts w:ascii="Times New Roman" w:hAnsi="Times New Roman"/>
          <w:sz w:val="26"/>
        </w:rPr>
        <w:t xml:space="preserve">обратиться </w:t>
      </w:r>
      <w:r>
        <w:rPr>
          <w:rFonts w:ascii="Times New Roman" w:hAnsi="Times New Roman"/>
          <w:sz w:val="26"/>
        </w:rPr>
        <w:t>в адрес</w:t>
      </w:r>
      <w:r>
        <w:rPr>
          <w:rFonts w:ascii="Times New Roman" w:hAnsi="Times New Roman"/>
          <w:sz w:val="26"/>
        </w:rPr>
        <w:t xml:space="preserve"> Продавца </w:t>
      </w:r>
      <w:r>
        <w:rPr>
          <w:rFonts w:ascii="Times New Roman" w:hAnsi="Times New Roman"/>
          <w:sz w:val="26"/>
        </w:rPr>
        <w:t>с заявлением о предоставлении земельного участка, на котором расположено Имущество, в аренду</w:t>
      </w:r>
      <w:r>
        <w:rPr>
          <w:rFonts w:ascii="Times New Roman" w:hAnsi="Times New Roman"/>
          <w:sz w:val="24"/>
        </w:rPr>
        <w:t>;</w:t>
      </w:r>
    </w:p>
    <w:p w14:paraId="23000000">
      <w:pPr>
        <w:numPr>
          <w:ilvl w:val="0"/>
          <w:numId w:val="1"/>
        </w:numPr>
        <w:tabs>
          <w:tab w:leader="none" w:pos="720" w:val="left"/>
          <w:tab w:leader="none" w:pos="928" w:val="clear"/>
          <w:tab w:leader="none" w:pos="1080" w:val="left"/>
        </w:tabs>
        <w:ind w:firstLine="720" w:left="0"/>
        <w:jc w:val="both"/>
        <w:rPr>
          <w:sz w:val="26"/>
        </w:rPr>
      </w:pPr>
      <w:r>
        <w:rPr>
          <w:sz w:val="26"/>
        </w:rPr>
        <w:t xml:space="preserve">в соответствии с </w:t>
      </w:r>
      <w:r>
        <w:rPr>
          <w:sz w:val="26"/>
        </w:rPr>
        <w:t>п. 1 ст. 30.3 Федерального закона от 21.12.2001 г. № 178-ФЗ «О приватизации государственного и муниципального имущества»</w:t>
      </w:r>
      <w:bookmarkStart w:id="1" w:name="_GoBack"/>
      <w:bookmarkEnd w:id="1"/>
      <w:r>
        <w:rPr>
          <w:sz w:val="26"/>
        </w:rPr>
        <w:t xml:space="preserve"> использовать Имущество в целях обслуживания пассажиров и судов, погрузки, выгрузки, приема, хранения и выдачи грузов, взаимодействия с другими видами транспорта. Прекращение обременения, а также изменение его условий допускается в случаях и в порядке, которые установлены Правительством Российской Федерации, по решению федерального органа исполнительной власти, осуществляющего функции по оказанию государственных услуг и управлению государственным имуществом в сфере внутреннего водного транспорта;</w:t>
      </w:r>
    </w:p>
    <w:p w14:paraId="24000000">
      <w:pPr>
        <w:numPr>
          <w:ilvl w:val="0"/>
          <w:numId w:val="1"/>
        </w:numPr>
        <w:tabs>
          <w:tab w:leader="none" w:pos="1080" w:val="left"/>
        </w:tabs>
        <w:ind w:firstLine="720" w:left="0"/>
        <w:jc w:val="both"/>
        <w:rPr>
          <w:sz w:val="26"/>
        </w:rPr>
      </w:pPr>
      <w:r>
        <w:rPr>
          <w:sz w:val="26"/>
        </w:rPr>
        <w:t>выполнять обязательства собственника Имущества, установленные порядком осуществления контроля за исполнением обязательств, предусмотренных решением об условиях приватизации объекта речного порта, утвержденным приказом Федерального агентства морского и речного транспорта от 11.06.2024 № 71;</w:t>
      </w:r>
    </w:p>
    <w:p w14:paraId="25000000">
      <w:pPr>
        <w:numPr>
          <w:ilvl w:val="0"/>
          <w:numId w:val="1"/>
        </w:numPr>
        <w:tabs>
          <w:tab w:leader="none" w:pos="1080" w:val="left"/>
        </w:tabs>
        <w:ind w:firstLine="720" w:left="0"/>
        <w:jc w:val="both"/>
        <w:rPr>
          <w:sz w:val="26"/>
        </w:rPr>
      </w:pPr>
      <w:r>
        <w:rPr>
          <w:sz w:val="26"/>
        </w:rPr>
        <w:t>обеспечить внесени</w:t>
      </w:r>
      <w:r>
        <w:rPr>
          <w:sz w:val="26"/>
        </w:rPr>
        <w:t>е</w:t>
      </w:r>
      <w:r>
        <w:rPr>
          <w:sz w:val="26"/>
        </w:rPr>
        <w:t xml:space="preserve"> в договоры, предусматривающие передачу третьему лицу права владения и (или) пользования Имуществом, изменений, учитывающих в качестве существенного условия обязательства такого лица выполнять требования, предусмотренные </w:t>
      </w:r>
      <w:r>
        <w:rPr>
          <w:sz w:val="26"/>
        </w:rPr>
        <w:t xml:space="preserve">п. 1 ст. 30.3 </w:t>
      </w:r>
      <w:r>
        <w:rPr>
          <w:sz w:val="26"/>
        </w:rPr>
        <w:t>от 21.12.2001 г. № 178-ФЗ (ред. от 02.08.2019) «О приватизации государственного и муниципального имущества»</w:t>
      </w:r>
      <w:r>
        <w:rPr>
          <w:sz w:val="26"/>
        </w:rPr>
        <w:t>, а также порядок и условия их выполнения.</w:t>
      </w:r>
    </w:p>
    <w:p w14:paraId="26000000">
      <w:pPr>
        <w:ind w:firstLine="720" w:left="0"/>
        <w:jc w:val="both"/>
        <w:rPr>
          <w:sz w:val="26"/>
        </w:rPr>
      </w:pPr>
      <w:r>
        <w:rPr>
          <w:sz w:val="26"/>
        </w:rPr>
        <w:t>2.1.2. Продавец:</w:t>
      </w:r>
    </w:p>
    <w:p w14:paraId="27000000">
      <w:pPr>
        <w:numPr>
          <w:ilvl w:val="0"/>
          <w:numId w:val="1"/>
        </w:numPr>
        <w:tabs>
          <w:tab w:leader="none" w:pos="1080" w:val="left"/>
        </w:tabs>
        <w:ind w:firstLine="720" w:left="0"/>
        <w:jc w:val="both"/>
        <w:rPr>
          <w:sz w:val="26"/>
        </w:rPr>
      </w:pPr>
      <w:r>
        <w:rPr>
          <w:sz w:val="26"/>
        </w:rPr>
        <w:t xml:space="preserve"> осуществить действия по передаче </w:t>
      </w:r>
      <w:r>
        <w:rPr>
          <w:sz w:val="26"/>
        </w:rPr>
        <w:t>Имущества</w:t>
      </w:r>
      <w:r>
        <w:rPr>
          <w:sz w:val="26"/>
        </w:rPr>
        <w:t xml:space="preserve"> в собственность Покупателя в порядке, установленно</w:t>
      </w:r>
      <w:r>
        <w:rPr>
          <w:sz w:val="26"/>
        </w:rPr>
        <w:t>м статьей 4 настоящего Договора;</w:t>
      </w:r>
    </w:p>
    <w:p w14:paraId="28000000">
      <w:pPr>
        <w:numPr>
          <w:ilvl w:val="0"/>
          <w:numId w:val="1"/>
        </w:numPr>
        <w:ind w:firstLine="568" w:left="0"/>
        <w:jc w:val="both"/>
        <w:rPr>
          <w:sz w:val="26"/>
        </w:rPr>
      </w:pPr>
      <w:r>
        <w:rPr>
          <w:sz w:val="26"/>
        </w:rPr>
        <w:t xml:space="preserve">в соответствии с пунктом 2 </w:t>
      </w:r>
      <w:r>
        <w:rPr>
          <w:sz w:val="26"/>
        </w:rPr>
        <w:t>порядка осуществления контроля за исполнением обязательств, предусмотренных решением об условиях приватизации объекта речного порта, утвержденного приказом Федерального агентства морского и речного транспорта от 11.06.2024 № 71,</w:t>
      </w:r>
      <w:r>
        <w:rPr>
          <w:sz w:val="26"/>
        </w:rPr>
        <w:t xml:space="preserve"> в срок, не превышающий 10 дней с даты государственной регистрации в соответствии с законодательством Российской Федерации в Едином государственном реестре недвижимости перехода права собственности на Имущество к Покупателю, направить копию договора купли-продажи в Федеральное агентство морского и речного транспорта в целях осуществления контроля за исполнением обязательств, предусмотренных решением об условиях приватизации Имущества.</w:t>
      </w:r>
    </w:p>
    <w:p w14:paraId="29000000">
      <w:pPr>
        <w:ind w:firstLine="568" w:left="0"/>
        <w:jc w:val="both"/>
        <w:rPr>
          <w:sz w:val="26"/>
        </w:rPr>
      </w:pPr>
    </w:p>
    <w:p w14:paraId="2A000000">
      <w:pPr>
        <w:tabs>
          <w:tab w:leader="none" w:pos="0" w:val="left"/>
          <w:tab w:leader="none" w:pos="928" w:val="clear"/>
          <w:tab w:leader="none" w:pos="1080" w:val="left"/>
        </w:tabs>
        <w:ind w:firstLine="568" w:left="0"/>
        <w:jc w:val="both"/>
        <w:rPr>
          <w:sz w:val="26"/>
        </w:rPr>
      </w:pPr>
    </w:p>
    <w:p w14:paraId="2B000000">
      <w:pPr>
        <w:ind/>
        <w:jc w:val="center"/>
        <w:rPr>
          <w:b w:val="1"/>
          <w:sz w:val="26"/>
        </w:rPr>
      </w:pPr>
      <w:r>
        <w:rPr>
          <w:b w:val="1"/>
          <w:sz w:val="26"/>
        </w:rPr>
        <w:t xml:space="preserve">Статья 3. Порядок оплаты </w:t>
      </w:r>
      <w:r>
        <w:rPr>
          <w:b w:val="1"/>
          <w:sz w:val="26"/>
        </w:rPr>
        <w:t>Имущества</w:t>
      </w:r>
    </w:p>
    <w:p w14:paraId="2C000000">
      <w:pPr>
        <w:ind/>
        <w:jc w:val="center"/>
        <w:rPr>
          <w:b w:val="1"/>
          <w:sz w:val="26"/>
        </w:rPr>
      </w:pPr>
    </w:p>
    <w:p w14:paraId="2D000000">
      <w:pPr>
        <w:ind w:firstLine="720" w:left="0"/>
        <w:jc w:val="both"/>
        <w:rPr>
          <w:sz w:val="26"/>
        </w:rPr>
      </w:pPr>
      <w:r>
        <w:rPr>
          <w:sz w:val="26"/>
        </w:rPr>
        <w:t xml:space="preserve">3.1. Установленная по итогам </w:t>
      </w:r>
      <w:r>
        <w:rPr>
          <w:sz w:val="26"/>
        </w:rPr>
        <w:t>Конкурса</w:t>
      </w:r>
      <w:r>
        <w:rPr>
          <w:sz w:val="26"/>
        </w:rPr>
        <w:t xml:space="preserve"> цена </w:t>
      </w:r>
      <w:r>
        <w:rPr>
          <w:sz w:val="26"/>
        </w:rPr>
        <w:t>Имущества</w:t>
      </w:r>
      <w:r>
        <w:rPr>
          <w:sz w:val="26"/>
        </w:rPr>
        <w:t xml:space="preserve"> составляет ____________ (__________________________) рублей</w:t>
      </w:r>
      <w:r>
        <w:rPr>
          <w:rStyle w:val="Style_3_ch"/>
          <w:sz w:val="26"/>
        </w:rPr>
        <w:footnoteReference w:id="1"/>
      </w:r>
      <w:r>
        <w:rPr>
          <w:sz w:val="26"/>
        </w:rPr>
        <w:t xml:space="preserve"> с учетом НДС.</w:t>
      </w:r>
    </w:p>
    <w:p w14:paraId="2E000000">
      <w:pPr>
        <w:ind w:firstLine="720" w:left="0"/>
        <w:jc w:val="both"/>
        <w:rPr>
          <w:sz w:val="26"/>
        </w:rPr>
      </w:pPr>
      <w:r>
        <w:rPr>
          <w:sz w:val="26"/>
        </w:rPr>
        <w:t>3.1.1. НДС составляет ___________ (___________) руб.</w:t>
      </w:r>
    </w:p>
    <w:p w14:paraId="2F000000">
      <w:pPr>
        <w:ind w:firstLine="720" w:left="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30000000">
      <w:pPr>
        <w:ind w:firstLine="720" w:left="0"/>
        <w:jc w:val="both"/>
        <w:rPr>
          <w:sz w:val="26"/>
        </w:rPr>
      </w:pPr>
      <w:r>
        <w:rPr>
          <w:sz w:val="26"/>
        </w:rPr>
        <w:t>3.</w:t>
      </w:r>
      <w:r>
        <w:rPr>
          <w:sz w:val="26"/>
        </w:rPr>
        <w:t>3</w:t>
      </w:r>
      <w:r>
        <w:rPr>
          <w:sz w:val="26"/>
        </w:rPr>
        <w:t xml:space="preserve">. </w:t>
      </w:r>
      <w:r>
        <w:rPr>
          <w:sz w:val="26"/>
        </w:rPr>
        <w:t xml:space="preserve">Покупатель обязан оплатить указанную в пункте 3.1. настоящего Договора сумму без учета НДС </w:t>
      </w:r>
      <w:r>
        <w:rPr>
          <w:sz w:val="26"/>
        </w:rPr>
        <w:t xml:space="preserve">и задатка </w:t>
      </w:r>
      <w:r>
        <w:rPr>
          <w:sz w:val="26"/>
        </w:rPr>
        <w:t>в российских рублях в безналичном порядке единовременно (одной суммой, одним платежным документом с обязательным заполнением всех реквизитов, перечисленных в настоящем пункте Договора)</w:t>
      </w:r>
      <w:r>
        <w:rPr>
          <w:sz w:val="26"/>
        </w:rPr>
        <w:t xml:space="preserve"> в федеральный б</w:t>
      </w:r>
      <w:r>
        <w:rPr>
          <w:sz w:val="26"/>
        </w:rPr>
        <w:t>юджет</w:t>
      </w:r>
      <w:r>
        <w:rPr>
          <w:sz w:val="26"/>
        </w:rPr>
        <w:t xml:space="preserve"> </w:t>
      </w:r>
      <w:r>
        <w:rPr>
          <w:sz w:val="26"/>
        </w:rPr>
        <w:t>в срок</w:t>
      </w:r>
      <w:r>
        <w:rPr>
          <w:sz w:val="26"/>
        </w:rPr>
        <w:t>,</w:t>
      </w:r>
      <w:r>
        <w:rPr>
          <w:sz w:val="26"/>
        </w:rPr>
        <w:t xml:space="preserve"> не превышающий 30 (тридцат</w:t>
      </w:r>
      <w:r>
        <w:rPr>
          <w:sz w:val="26"/>
        </w:rPr>
        <w:t>ь</w:t>
      </w:r>
      <w:r>
        <w:rPr>
          <w:sz w:val="26"/>
        </w:rPr>
        <w:t>) календарных дне</w:t>
      </w:r>
      <w:r>
        <w:rPr>
          <w:sz w:val="26"/>
        </w:rPr>
        <w:t>й</w:t>
      </w:r>
      <w:r>
        <w:rPr>
          <w:sz w:val="26"/>
        </w:rPr>
        <w:t xml:space="preserve"> с даты заключения Договора</w:t>
      </w:r>
      <w:r>
        <w:rPr>
          <w:sz w:val="26"/>
        </w:rPr>
        <w:t xml:space="preserve">, </w:t>
      </w:r>
      <w:r>
        <w:rPr>
          <w:sz w:val="26"/>
        </w:rPr>
        <w:t>по следующим реквизитам:</w:t>
      </w:r>
    </w:p>
    <w:p w14:paraId="31000000">
      <w:pPr>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32000000">
      <w:pPr>
        <w:ind w:firstLine="720" w:left="0"/>
        <w:jc w:val="both"/>
        <w:rPr>
          <w:sz w:val="26"/>
          <w:u w:val="single"/>
        </w:rPr>
      </w:pPr>
      <w:r>
        <w:rPr>
          <w:sz w:val="26"/>
          <w:u w:val="single"/>
        </w:rPr>
        <w:t>ИНН/КПП Получателя: 2221172516/222101001;</w:t>
      </w:r>
    </w:p>
    <w:p w14:paraId="33000000">
      <w:pPr>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34000000">
      <w:pPr>
        <w:ind w:firstLine="720" w:left="0"/>
        <w:jc w:val="both"/>
        <w:rPr>
          <w:sz w:val="26"/>
          <w:u w:val="single"/>
        </w:rPr>
      </w:pPr>
      <w:r>
        <w:rPr>
          <w:sz w:val="26"/>
          <w:u w:val="single"/>
        </w:rPr>
        <w:t>Банк получателя: Отделение Барнаул//УФК по Алтайскому краю, г. Барнаул;</w:t>
      </w:r>
    </w:p>
    <w:p w14:paraId="35000000">
      <w:pPr>
        <w:ind w:firstLine="720" w:left="0"/>
        <w:jc w:val="both"/>
        <w:rPr>
          <w:sz w:val="26"/>
          <w:u w:val="single"/>
        </w:rPr>
      </w:pPr>
      <w:r>
        <w:rPr>
          <w:sz w:val="26"/>
          <w:u w:val="single"/>
        </w:rPr>
        <w:t>БИК банка получателя: 010173001;</w:t>
      </w:r>
    </w:p>
    <w:p w14:paraId="36000000">
      <w:pPr>
        <w:ind w:firstLine="720" w:left="0"/>
        <w:jc w:val="both"/>
        <w:rPr>
          <w:sz w:val="26"/>
          <w:u w:val="single"/>
        </w:rPr>
      </w:pPr>
      <w:r>
        <w:rPr>
          <w:sz w:val="26"/>
          <w:u w:val="single"/>
        </w:rPr>
        <w:t>Единый казначейский счет: 40102810045370000009;</w:t>
      </w:r>
    </w:p>
    <w:p w14:paraId="37000000">
      <w:pPr>
        <w:ind w:firstLine="720" w:left="0"/>
        <w:jc w:val="both"/>
        <w:rPr>
          <w:sz w:val="26"/>
          <w:u w:val="single"/>
        </w:rPr>
      </w:pPr>
      <w:r>
        <w:rPr>
          <w:sz w:val="26"/>
          <w:u w:val="single"/>
        </w:rPr>
        <w:t xml:space="preserve">Код ОКТМО: 01701000. </w:t>
      </w:r>
    </w:p>
    <w:p w14:paraId="38000000">
      <w:pPr>
        <w:ind w:firstLine="720" w:left="0"/>
        <w:jc w:val="both"/>
        <w:rPr>
          <w:sz w:val="26"/>
          <w:u w:val="single"/>
        </w:rPr>
      </w:pPr>
      <w:r>
        <w:rPr>
          <w:sz w:val="26"/>
          <w:u w:val="single"/>
        </w:rPr>
        <w:t>КБК 167 1 14 13010 01 6000 410</w:t>
      </w:r>
    </w:p>
    <w:p w14:paraId="39000000">
      <w:pPr>
        <w:pStyle w:val="Style_4"/>
        <w:ind w:firstLine="425" w:left="0"/>
        <w:rPr>
          <w:u w:val="single"/>
        </w:rPr>
      </w:pPr>
      <w:r>
        <w:rPr>
          <w:sz w:val="26"/>
          <w:u w:val="single"/>
        </w:rPr>
        <w:t>Код (в графе 22 платежного поручения): 00</w:t>
      </w:r>
      <w:r>
        <w:rPr>
          <w:sz w:val="26"/>
          <w:u w:val="single"/>
        </w:rPr>
        <w:t>11</w:t>
      </w:r>
      <w:r>
        <w:rPr>
          <w:sz w:val="26"/>
          <w:u w:val="single"/>
        </w:rPr>
        <w:t xml:space="preserve"> (обязательно к заполнению).</w:t>
      </w:r>
    </w:p>
    <w:p w14:paraId="3A000000">
      <w:pPr>
        <w:ind w:firstLine="720" w:left="0"/>
        <w:jc w:val="both"/>
        <w:rPr>
          <w:sz w:val="26"/>
          <w:u w:val="single"/>
        </w:rPr>
      </w:pPr>
      <w:r>
        <w:rPr>
          <w:sz w:val="26"/>
          <w:u w:val="single"/>
        </w:rPr>
        <w:t xml:space="preserve">Назначение платежа: </w:t>
      </w:r>
      <w:r>
        <w:rPr>
          <w:sz w:val="26"/>
          <w:u w:val="single"/>
        </w:rPr>
        <w:t>«</w:t>
      </w:r>
      <w:r>
        <w:rPr>
          <w:sz w:val="26"/>
          <w:u w:val="single"/>
        </w:rPr>
        <w:t xml:space="preserve">  </w:t>
      </w:r>
      <w:r>
        <w:rPr>
          <w:sz w:val="26"/>
          <w:u w:val="single"/>
        </w:rPr>
        <w:t xml:space="preserve">            </w:t>
      </w:r>
      <w:r>
        <w:rPr>
          <w:sz w:val="26"/>
          <w:u w:val="single"/>
        </w:rPr>
        <w:t>».</w:t>
      </w:r>
    </w:p>
    <w:p w14:paraId="3B000000">
      <w:pPr>
        <w:ind w:firstLine="720" w:left="0"/>
        <w:jc w:val="both"/>
        <w:rPr>
          <w:sz w:val="26"/>
        </w:rPr>
      </w:pPr>
      <w:r>
        <w:rPr>
          <w:sz w:val="26"/>
        </w:rPr>
        <w:t>В платежном поручении, оформляющем оплату, должны быть указаны сведения о наименовании Покупате</w:t>
      </w:r>
      <w:r>
        <w:rPr>
          <w:sz w:val="26"/>
        </w:rPr>
        <w:t>ля,</w:t>
      </w:r>
      <w:r>
        <w:rPr>
          <w:sz w:val="26"/>
        </w:rPr>
        <w:t xml:space="preserve"> Имущества, дата и номер настоящего Договора, а также информация о НДС в назначении платежа.</w:t>
      </w:r>
    </w:p>
    <w:p w14:paraId="3C000000">
      <w:pPr>
        <w:ind w:firstLine="720" w:left="0"/>
        <w:jc w:val="both"/>
        <w:rPr>
          <w:sz w:val="26"/>
        </w:rPr>
      </w:pPr>
      <w:r>
        <w:rPr>
          <w:sz w:val="26"/>
        </w:rPr>
        <w:t>3.</w:t>
      </w:r>
      <w:r>
        <w:rPr>
          <w:sz w:val="26"/>
        </w:rPr>
        <w:t>4. Сумма НДС</w:t>
      </w:r>
      <w:r>
        <w:rPr>
          <w:sz w:val="26"/>
        </w:rPr>
        <w:t xml:space="preserve"> в размере</w:t>
      </w:r>
      <w:r>
        <w:rPr>
          <w:sz w:val="26"/>
        </w:rPr>
        <w:t xml:space="preserve"> ___________ (___________) руб.</w:t>
      </w:r>
      <w:r>
        <w:rPr>
          <w:sz w:val="26"/>
        </w:rPr>
        <w:t xml:space="preserve"> должна быть внесена </w:t>
      </w:r>
      <w:r>
        <w:rPr>
          <w:sz w:val="26"/>
        </w:rPr>
        <w:t>в срок</w:t>
      </w:r>
      <w:r>
        <w:rPr>
          <w:sz w:val="26"/>
        </w:rPr>
        <w:t>,</w:t>
      </w:r>
      <w:r>
        <w:rPr>
          <w:sz w:val="26"/>
        </w:rPr>
        <w:t xml:space="preserve"> не превышающий 30 (тридцать) календарных дней с даты заключения Договора</w:t>
      </w:r>
      <w:r>
        <w:rPr>
          <w:sz w:val="26"/>
        </w:rPr>
        <w:t>,</w:t>
      </w:r>
      <w:r>
        <w:rPr>
          <w:sz w:val="26"/>
        </w:rPr>
        <w:t xml:space="preserve"> </w:t>
      </w:r>
      <w:r>
        <w:rPr>
          <w:sz w:val="26"/>
        </w:rPr>
        <w:t xml:space="preserve">по следующим реквизитам: </w:t>
      </w:r>
      <w:r>
        <w:rPr>
          <w:b w:val="1"/>
          <w:i w:val="1"/>
          <w:sz w:val="26"/>
        </w:rPr>
        <w:t>(для физических лиц)</w:t>
      </w:r>
    </w:p>
    <w:p w14:paraId="3D000000">
      <w:pPr>
        <w:ind w:firstLine="720" w:left="0"/>
        <w:jc w:val="both"/>
        <w:rPr>
          <w:sz w:val="26"/>
        </w:rPr>
      </w:pPr>
      <w:r>
        <w:rPr>
          <w:sz w:val="26"/>
        </w:rPr>
        <w:t xml:space="preserve">УФК по Алтайскому краю (МТУ Росимущества в Алтайском крае и Республике Алтай, л/с: 05171А18480; </w:t>
      </w:r>
    </w:p>
    <w:p w14:paraId="3E000000">
      <w:pPr>
        <w:ind w:firstLine="720" w:left="0"/>
        <w:jc w:val="both"/>
        <w:rPr>
          <w:sz w:val="26"/>
        </w:rPr>
      </w:pPr>
      <w:r>
        <w:rPr>
          <w:sz w:val="26"/>
        </w:rPr>
        <w:t xml:space="preserve">ИНН 2221172516, КПП 222101001; </w:t>
      </w:r>
    </w:p>
    <w:p w14:paraId="3F000000">
      <w:pPr>
        <w:ind w:firstLine="720" w:left="0"/>
        <w:jc w:val="both"/>
        <w:rPr>
          <w:sz w:val="26"/>
        </w:rPr>
      </w:pPr>
      <w:r>
        <w:rPr>
          <w:sz w:val="26"/>
        </w:rPr>
        <w:t xml:space="preserve">Казначейский счет (используется в качестве номера счета Получателя): </w:t>
      </w:r>
    </w:p>
    <w:p w14:paraId="40000000">
      <w:pPr>
        <w:ind w:firstLine="720" w:left="0"/>
        <w:jc w:val="both"/>
        <w:rPr>
          <w:sz w:val="26"/>
        </w:rPr>
      </w:pPr>
      <w:r>
        <w:rPr>
          <w:sz w:val="26"/>
        </w:rPr>
        <w:t xml:space="preserve">03212643000000011700; </w:t>
      </w:r>
    </w:p>
    <w:p w14:paraId="41000000">
      <w:pPr>
        <w:ind w:firstLine="720" w:left="0"/>
        <w:jc w:val="both"/>
        <w:rPr>
          <w:sz w:val="26"/>
        </w:rPr>
      </w:pPr>
      <w:r>
        <w:rPr>
          <w:sz w:val="26"/>
        </w:rPr>
        <w:t>Банк: Отделение Барнаул Банка России//УФК по Алтайскому краю, г. Барнаул;</w:t>
      </w:r>
    </w:p>
    <w:p w14:paraId="42000000">
      <w:pPr>
        <w:ind w:firstLine="720" w:left="0"/>
        <w:jc w:val="both"/>
        <w:rPr>
          <w:sz w:val="26"/>
        </w:rPr>
      </w:pPr>
      <w:r>
        <w:rPr>
          <w:sz w:val="26"/>
        </w:rPr>
        <w:t>Единый казначейский счет (используется в качестве номера счета банка получателя): 40102810045370000009</w:t>
      </w:r>
    </w:p>
    <w:p w14:paraId="43000000">
      <w:pPr>
        <w:ind w:firstLine="720" w:left="0"/>
        <w:jc w:val="both"/>
        <w:rPr>
          <w:sz w:val="26"/>
        </w:rPr>
      </w:pPr>
      <w:r>
        <w:rPr>
          <w:sz w:val="26"/>
        </w:rPr>
        <w:t>БИК 010173001</w:t>
      </w:r>
    </w:p>
    <w:p w14:paraId="44000000">
      <w:pPr>
        <w:ind w:firstLine="720" w:left="0"/>
        <w:jc w:val="both"/>
        <w:rPr>
          <w:sz w:val="26"/>
        </w:rPr>
      </w:pPr>
      <w:r>
        <w:rPr>
          <w:sz w:val="26"/>
        </w:rPr>
        <w:t>ОКТМО 01701000</w:t>
      </w:r>
    </w:p>
    <w:p w14:paraId="45000000">
      <w:pPr>
        <w:ind w:firstLine="720" w:left="0"/>
        <w:jc w:val="both"/>
        <w:rPr>
          <w:sz w:val="26"/>
        </w:rPr>
      </w:pPr>
      <w:r>
        <w:rPr>
          <w:sz w:val="26"/>
        </w:rPr>
        <w:t>Код (в графе 22 платежного поручения): 00</w:t>
      </w:r>
      <w:r>
        <w:rPr>
          <w:sz w:val="26"/>
        </w:rPr>
        <w:t>11</w:t>
      </w:r>
      <w:r>
        <w:rPr>
          <w:sz w:val="26"/>
        </w:rPr>
        <w:t xml:space="preserve"> (обязательно к заполнению).</w:t>
      </w:r>
      <w:r>
        <w:rPr>
          <w:sz w:val="26"/>
        </w:rPr>
        <w:t xml:space="preserve"> В</w:t>
      </w:r>
      <w:r>
        <w:rPr>
          <w:sz w:val="26"/>
        </w:rPr>
        <w:t xml:space="preserve"> платежном поручении, оформляющем оплату, должно быть указано: «Оплата суммы НДС </w:t>
      </w:r>
      <w:r>
        <w:rPr>
          <w:sz w:val="26"/>
        </w:rPr>
        <w:t>по договору от (указывается дата договора), сведения о наименовании Имущества и Покупателя».</w:t>
      </w:r>
    </w:p>
    <w:p w14:paraId="46000000">
      <w:pPr>
        <w:ind w:firstLine="720" w:left="0"/>
        <w:jc w:val="both"/>
        <w:rPr>
          <w:sz w:val="26"/>
        </w:rPr>
      </w:pPr>
      <w:r>
        <w:rPr>
          <w:sz w:val="26"/>
        </w:rPr>
        <w:t>Сумма НДС</w:t>
      </w:r>
      <w:r>
        <w:rPr>
          <w:sz w:val="26"/>
        </w:rPr>
        <w:t xml:space="preserve"> в размере ___________ (___________) </w:t>
      </w:r>
      <w:r>
        <w:rPr>
          <w:sz w:val="26"/>
        </w:rPr>
        <w:t>руб.</w:t>
      </w:r>
      <w:r>
        <w:rPr>
          <w:sz w:val="26"/>
        </w:rPr>
        <w:t xml:space="preserve"> оплачивается Покупателем самостоятельно, в соответствии с п. 3 ст. 161 Налогового кодекса Российской Федерации </w:t>
      </w:r>
      <w:r>
        <w:rPr>
          <w:b w:val="1"/>
          <w:i w:val="1"/>
          <w:sz w:val="26"/>
        </w:rPr>
        <w:t>(для юридических лиц).</w:t>
      </w:r>
      <w:r>
        <w:rPr>
          <w:sz w:val="26"/>
        </w:rPr>
        <w:t xml:space="preserve"> </w:t>
      </w:r>
    </w:p>
    <w:p w14:paraId="47000000">
      <w:pPr>
        <w:ind w:firstLine="720" w:left="0"/>
        <w:jc w:val="both"/>
        <w:rPr>
          <w:sz w:val="26"/>
        </w:rPr>
      </w:pPr>
      <w:r>
        <w:rPr>
          <w:sz w:val="26"/>
        </w:rPr>
        <w:t xml:space="preserve">3.5. </w:t>
      </w:r>
      <w:r>
        <w:rPr>
          <w:sz w:val="26"/>
        </w:rPr>
        <w:t xml:space="preserve">Моментом исполнения обязательства Покупателя по оплате </w:t>
      </w:r>
      <w:r>
        <w:rPr>
          <w:sz w:val="26"/>
        </w:rPr>
        <w:t>Имущества</w:t>
      </w:r>
      <w:r>
        <w:rPr>
          <w:sz w:val="26"/>
        </w:rPr>
        <w:t xml:space="preserve"> считается день зачисления в федеральный бюджет денежных средств, указанных </w:t>
      </w:r>
      <w:r>
        <w:rPr>
          <w:sz w:val="26"/>
        </w:rPr>
        <w:t>в</w:t>
      </w:r>
      <w:r>
        <w:rPr>
          <w:sz w:val="26"/>
        </w:rPr>
        <w:t xml:space="preserve"> пункте </w:t>
      </w:r>
      <w:r>
        <w:rPr>
          <w:sz w:val="26"/>
        </w:rPr>
        <w:t xml:space="preserve">3.3. </w:t>
      </w:r>
      <w:r>
        <w:rPr>
          <w:sz w:val="26"/>
        </w:rPr>
        <w:t>Договора.</w:t>
      </w:r>
    </w:p>
    <w:p w14:paraId="48000000">
      <w:pPr>
        <w:ind w:firstLine="720" w:left="0"/>
        <w:jc w:val="both"/>
        <w:rPr>
          <w:sz w:val="26"/>
        </w:rPr>
      </w:pPr>
      <w:r>
        <w:rPr>
          <w:sz w:val="26"/>
        </w:rPr>
        <w:t>Исполнение обязательства по оплате Имущества может быть возложено Покупателем на третье лицо. При этом Продавец обязан признать платеж, произведенный третьим лицом по реквизитам, указанным в пункте 3.</w:t>
      </w:r>
      <w:r>
        <w:rPr>
          <w:sz w:val="26"/>
        </w:rPr>
        <w:t>3</w:t>
      </w:r>
      <w:r>
        <w:rPr>
          <w:sz w:val="26"/>
        </w:rPr>
        <w:t>. Договора.</w:t>
      </w:r>
    </w:p>
    <w:p w14:paraId="49000000">
      <w:pPr>
        <w:ind w:firstLine="720" w:left="0"/>
        <w:jc w:val="both"/>
        <w:rPr>
          <w:sz w:val="26"/>
        </w:rPr>
      </w:pPr>
      <w:r>
        <w:rPr>
          <w:sz w:val="26"/>
        </w:rPr>
        <w:t>3.</w:t>
      </w:r>
      <w:r>
        <w:rPr>
          <w:sz w:val="26"/>
        </w:rPr>
        <w:t>6</w:t>
      </w:r>
      <w:r>
        <w:rPr>
          <w:sz w:val="26"/>
        </w:rPr>
        <w:t xml:space="preserve">. Надлежащим выполнением обязательства Покупателя по оплате </w:t>
      </w:r>
      <w:r>
        <w:rPr>
          <w:sz w:val="26"/>
        </w:rPr>
        <w:t>Имущества</w:t>
      </w:r>
      <w:r>
        <w:rPr>
          <w:sz w:val="26"/>
        </w:rPr>
        <w:t xml:space="preserve"> является выполнение пункта 3.3</w:t>
      </w:r>
      <w:r>
        <w:rPr>
          <w:sz w:val="26"/>
        </w:rPr>
        <w:t>. настоящего Договора.</w:t>
      </w:r>
    </w:p>
    <w:p w14:paraId="4A000000">
      <w:pPr>
        <w:tabs>
          <w:tab w:leader="none" w:pos="851" w:val="left"/>
        </w:tabs>
        <w:spacing w:after="120" w:before="120"/>
        <w:ind/>
        <w:jc w:val="center"/>
        <w:outlineLvl w:val="2"/>
        <w:rPr>
          <w:b w:val="1"/>
          <w:color w:val="000000"/>
          <w:sz w:val="26"/>
        </w:rPr>
      </w:pPr>
    </w:p>
    <w:p w14:paraId="4B000000">
      <w:pPr>
        <w:tabs>
          <w:tab w:leader="none" w:pos="851" w:val="left"/>
        </w:tabs>
        <w:spacing w:after="120" w:before="120"/>
        <w:ind/>
        <w:jc w:val="center"/>
        <w:outlineLvl w:val="2"/>
        <w:rPr>
          <w:b w:val="1"/>
          <w:color w:val="000000"/>
          <w:sz w:val="26"/>
        </w:rPr>
      </w:pPr>
      <w:r>
        <w:rPr>
          <w:b w:val="1"/>
          <w:color w:val="000000"/>
          <w:sz w:val="26"/>
        </w:rPr>
        <w:t xml:space="preserve">Статья 4. Переход права собственности на </w:t>
      </w:r>
      <w:r>
        <w:rPr>
          <w:b w:val="1"/>
          <w:color w:val="000000"/>
          <w:sz w:val="26"/>
        </w:rPr>
        <w:t>Имущество</w:t>
      </w:r>
    </w:p>
    <w:p w14:paraId="4C000000">
      <w:pPr>
        <w:tabs>
          <w:tab w:leader="none" w:pos="851" w:val="left"/>
        </w:tabs>
        <w:spacing w:after="120" w:before="120"/>
        <w:ind/>
        <w:jc w:val="center"/>
        <w:outlineLvl w:val="2"/>
        <w:rPr>
          <w:b w:val="1"/>
          <w:color w:val="000000"/>
          <w:sz w:val="26"/>
        </w:rPr>
      </w:pPr>
    </w:p>
    <w:p w14:paraId="4D000000">
      <w:pPr>
        <w:ind w:firstLine="720" w:left="0"/>
        <w:jc w:val="both"/>
        <w:rPr>
          <w:sz w:val="26"/>
        </w:rPr>
      </w:pPr>
      <w:r>
        <w:rPr>
          <w:sz w:val="26"/>
        </w:rPr>
        <w:t xml:space="preserve">4.1. Переход права собственности на </w:t>
      </w:r>
      <w:r>
        <w:rPr>
          <w:sz w:val="26"/>
        </w:rPr>
        <w:t>Имущество</w:t>
      </w:r>
      <w:r>
        <w:rPr>
          <w:sz w:val="26"/>
        </w:rPr>
        <w:t xml:space="preserve"> от Продавца к Покупателю оформляется в соответствии с требованиями действующего законодательства Российской Федерации после полной оплаты </w:t>
      </w:r>
      <w:r>
        <w:rPr>
          <w:sz w:val="26"/>
        </w:rPr>
        <w:t>Имущества</w:t>
      </w:r>
      <w:r>
        <w:rPr>
          <w:sz w:val="26"/>
        </w:rPr>
        <w:t xml:space="preserve"> в порядке, предусмотренном настоящим Договором</w:t>
      </w:r>
      <w:r>
        <w:rPr>
          <w:sz w:val="26"/>
        </w:rPr>
        <w:t>.</w:t>
      </w:r>
    </w:p>
    <w:p w14:paraId="4E000000">
      <w:pPr>
        <w:ind w:firstLine="720" w:left="0"/>
        <w:jc w:val="both"/>
        <w:rPr>
          <w:sz w:val="26"/>
        </w:rPr>
      </w:pPr>
      <w:r>
        <w:rPr>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4F000000">
      <w:pPr>
        <w:ind w:firstLine="720" w:left="0"/>
        <w:jc w:val="both"/>
        <w:rPr>
          <w:sz w:val="26"/>
        </w:rPr>
      </w:pPr>
      <w:r>
        <w:rPr>
          <w:sz w:val="26"/>
        </w:rPr>
        <w:t xml:space="preserve">4.2. Выполнение Покупателем обязательств, указанных в пункте 3.3 настоящего Договора, подтверждается выпиской со счета федерального бюджета о поступлении денежных средств в оплату </w:t>
      </w:r>
      <w:r>
        <w:rPr>
          <w:sz w:val="26"/>
        </w:rPr>
        <w:t>Имущества</w:t>
      </w:r>
      <w:r>
        <w:rPr>
          <w:sz w:val="26"/>
        </w:rPr>
        <w:t>.</w:t>
      </w:r>
    </w:p>
    <w:p w14:paraId="50000000">
      <w:pPr>
        <w:ind w:firstLine="720" w:left="0"/>
        <w:jc w:val="both"/>
        <w:rPr>
          <w:sz w:val="26"/>
        </w:rPr>
      </w:pPr>
      <w:r>
        <w:rPr>
          <w:sz w:val="26"/>
        </w:rPr>
        <w:t>4.3. Расходы, связанные с оформлением и подписанием Передаточного акта (</w:t>
      </w:r>
      <w:r>
        <w:rPr>
          <w:sz w:val="26"/>
        </w:rPr>
        <w:t xml:space="preserve">акта </w:t>
      </w:r>
      <w:r>
        <w:rPr>
          <w:sz w:val="26"/>
        </w:rPr>
        <w:t xml:space="preserve"> приема</w:t>
      </w:r>
      <w:r>
        <w:rPr>
          <w:sz w:val="26"/>
        </w:rPr>
        <w:t xml:space="preserve">-передачи Имущества), </w:t>
      </w:r>
      <w:r>
        <w:rPr>
          <w:sz w:val="26"/>
        </w:rPr>
        <w:t>несет Покупатель.</w:t>
      </w:r>
    </w:p>
    <w:p w14:paraId="51000000">
      <w:pPr>
        <w:ind w:firstLine="720" w:left="0"/>
        <w:jc w:val="both"/>
        <w:rPr>
          <w:sz w:val="26"/>
        </w:rPr>
      </w:pPr>
    </w:p>
    <w:p w14:paraId="52000000">
      <w:pPr>
        <w:tabs>
          <w:tab w:leader="none" w:pos="851" w:val="left"/>
        </w:tabs>
        <w:spacing w:after="120" w:before="120"/>
        <w:ind/>
        <w:jc w:val="center"/>
        <w:outlineLvl w:val="2"/>
        <w:rPr>
          <w:b w:val="1"/>
          <w:color w:val="000000"/>
          <w:sz w:val="26"/>
        </w:rPr>
      </w:pPr>
      <w:r>
        <w:rPr>
          <w:b w:val="1"/>
          <w:color w:val="000000"/>
          <w:sz w:val="26"/>
        </w:rPr>
        <w:t>Статья 5. Ответственность Сторон</w:t>
      </w:r>
    </w:p>
    <w:p w14:paraId="53000000">
      <w:pPr>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54000000">
      <w:pPr>
        <w:ind w:firstLine="720" w:left="0"/>
        <w:jc w:val="both"/>
        <w:rPr>
          <w:sz w:val="26"/>
        </w:rPr>
      </w:pPr>
      <w:r>
        <w:rPr>
          <w:sz w:val="26"/>
        </w:rPr>
        <w:t xml:space="preserve">5.2. За нарушение сроков внесения денежных средств в счет оплаты </w:t>
      </w:r>
      <w:r>
        <w:rPr>
          <w:sz w:val="26"/>
        </w:rPr>
        <w:t xml:space="preserve">Имущества </w:t>
      </w:r>
      <w:r>
        <w:rPr>
          <w:sz w:val="26"/>
        </w:rPr>
        <w:t>в порядке, предусмотренном пунктом 3.3. настоящего Договора, Покупатель уплачивает Продавцу пеню в размере 0,2</w:t>
      </w:r>
      <w:r>
        <w:rPr>
          <w:sz w:val="26"/>
        </w:rPr>
        <w:t xml:space="preserve"> % от невнесенной суммы за каждый календарный день просрочки по следующим реквизитам:</w:t>
      </w:r>
    </w:p>
    <w:p w14:paraId="55000000">
      <w:pPr>
        <w:ind w:firstLine="720" w:left="0"/>
        <w:jc w:val="both"/>
        <w:rPr>
          <w:sz w:val="26"/>
        </w:rPr>
      </w:pPr>
      <w:r>
        <w:rPr>
          <w:sz w:val="26"/>
        </w:rPr>
        <w:t>Получатель платежа: УФК по Алтайскому краю (МТУ Росимущества в Алтайском крае и Республике Алтай);</w:t>
      </w:r>
    </w:p>
    <w:p w14:paraId="56000000">
      <w:pPr>
        <w:ind w:firstLine="720" w:left="0"/>
        <w:jc w:val="both"/>
        <w:rPr>
          <w:sz w:val="26"/>
        </w:rPr>
      </w:pPr>
      <w:r>
        <w:rPr>
          <w:sz w:val="26"/>
        </w:rPr>
        <w:t>ИНН/КПП Получателя: 2221172516/222101001;</w:t>
      </w:r>
    </w:p>
    <w:p w14:paraId="57000000">
      <w:pPr>
        <w:ind w:firstLine="720" w:left="0"/>
        <w:jc w:val="both"/>
        <w:rPr>
          <w:sz w:val="26"/>
        </w:rPr>
      </w:pPr>
      <w:r>
        <w:rPr>
          <w:sz w:val="26"/>
        </w:rPr>
        <w:t>Казначейский счет для учета доходов Получателя, открытый в территориальном органе Федерального Казначейства: 03100643000000011700;</w:t>
      </w:r>
    </w:p>
    <w:p w14:paraId="58000000">
      <w:pPr>
        <w:ind w:firstLine="720" w:left="0"/>
        <w:jc w:val="both"/>
        <w:rPr>
          <w:sz w:val="26"/>
        </w:rPr>
      </w:pPr>
      <w:r>
        <w:rPr>
          <w:sz w:val="26"/>
        </w:rPr>
        <w:t>Банк получателя: Отделение Барнаул//УФК по Алтайскому краю, г. Барнаул;</w:t>
      </w:r>
    </w:p>
    <w:p w14:paraId="59000000">
      <w:pPr>
        <w:ind w:firstLine="720" w:left="0"/>
        <w:jc w:val="both"/>
        <w:rPr>
          <w:sz w:val="26"/>
        </w:rPr>
      </w:pPr>
      <w:r>
        <w:rPr>
          <w:sz w:val="26"/>
        </w:rPr>
        <w:t>БИК банка получателя: 010173001;</w:t>
      </w:r>
    </w:p>
    <w:p w14:paraId="5A000000">
      <w:pPr>
        <w:ind w:firstLine="720" w:left="0"/>
        <w:jc w:val="both"/>
        <w:rPr>
          <w:sz w:val="26"/>
        </w:rPr>
      </w:pPr>
      <w:r>
        <w:rPr>
          <w:sz w:val="26"/>
        </w:rPr>
        <w:t>Единый казначейский счет: 40102810045370000009;</w:t>
      </w:r>
    </w:p>
    <w:p w14:paraId="5B000000">
      <w:pPr>
        <w:ind w:firstLine="720" w:left="0"/>
        <w:jc w:val="both"/>
        <w:rPr>
          <w:sz w:val="26"/>
        </w:rPr>
      </w:pPr>
      <w:r>
        <w:rPr>
          <w:sz w:val="26"/>
        </w:rPr>
        <w:t>Код ОКТМО: 01701000;</w:t>
      </w:r>
    </w:p>
    <w:p w14:paraId="5C000000">
      <w:pPr>
        <w:ind w:firstLine="720" w:left="0"/>
        <w:jc w:val="both"/>
        <w:rPr>
          <w:sz w:val="26"/>
        </w:rPr>
      </w:pPr>
      <w:r>
        <w:rPr>
          <w:sz w:val="26"/>
        </w:rPr>
        <w:t xml:space="preserve">КБК 167 1 16 07090 01 9000 140. </w:t>
      </w:r>
    </w:p>
    <w:p w14:paraId="5D000000">
      <w:pPr>
        <w:ind w:firstLine="720" w:left="0"/>
        <w:jc w:val="both"/>
        <w:rPr>
          <w:sz w:val="26"/>
        </w:rPr>
      </w:pPr>
      <w:r>
        <w:rPr>
          <w:sz w:val="26"/>
        </w:rPr>
        <w:t xml:space="preserve">Назначение платежа: </w:t>
      </w:r>
      <w:r>
        <w:rPr>
          <w:sz w:val="26"/>
        </w:rPr>
        <w:t xml:space="preserve">«  </w:t>
      </w:r>
      <w:r>
        <w:rPr>
          <w:sz w:val="26"/>
        </w:rPr>
        <w:t xml:space="preserve">             ».</w:t>
      </w:r>
    </w:p>
    <w:p w14:paraId="5E000000">
      <w:pPr>
        <w:ind w:firstLine="720" w:left="0"/>
        <w:jc w:val="both"/>
        <w:rPr>
          <w:sz w:val="26"/>
        </w:rPr>
      </w:pPr>
      <w:r>
        <w:rPr>
          <w:sz w:val="26"/>
        </w:rPr>
        <w:t xml:space="preserve">Просрочка внесения денежных средств в счет оплаты </w:t>
      </w:r>
      <w:r>
        <w:rPr>
          <w:sz w:val="26"/>
        </w:rPr>
        <w:t>Имущества</w:t>
      </w:r>
      <w:r>
        <w:rPr>
          <w:sz w:val="26"/>
        </w:rPr>
        <w:t xml:space="preserve"> в сумме и сроки, указанные в статье 3 настоящего Договора, не может составлять более пяти календарных дней (далее – «допустимая просрочка»). Просрочка свыше пяти календарных дней считается отказом Покупателя от исполнения обязательств по оплате </w:t>
      </w:r>
      <w:r>
        <w:rPr>
          <w:sz w:val="26"/>
        </w:rPr>
        <w:t>Имущества</w:t>
      </w:r>
      <w:r>
        <w:rPr>
          <w:sz w:val="26"/>
        </w:rPr>
        <w:t xml:space="preserve">, установленных статьей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sz w:val="26"/>
        </w:rPr>
        <w:t>Имущества</w:t>
      </w:r>
      <w:r>
        <w:rPr>
          <w:sz w:val="26"/>
        </w:rPr>
        <w:t>.</w:t>
      </w:r>
    </w:p>
    <w:p w14:paraId="5F000000">
      <w:pPr>
        <w:ind w:firstLine="720" w:left="0"/>
        <w:jc w:val="both"/>
        <w:rPr>
          <w:sz w:val="26"/>
        </w:rPr>
      </w:pPr>
      <w:r>
        <w:rPr>
          <w:sz w:val="26"/>
        </w:rPr>
        <w:t xml:space="preserve">5.3. 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w:t>
      </w:r>
      <w:r>
        <w:rPr>
          <w:sz w:val="26"/>
        </w:rPr>
        <w:t>Конкурсе</w:t>
      </w:r>
      <w:r>
        <w:rPr>
          <w:sz w:val="26"/>
        </w:rPr>
        <w:t xml:space="preserve"> задатка, а именно _______ (_____) рублей по следующим реквизитам:</w:t>
      </w:r>
    </w:p>
    <w:p w14:paraId="60000000">
      <w:pPr>
        <w:ind w:firstLine="720" w:left="0"/>
        <w:jc w:val="both"/>
        <w:rPr>
          <w:sz w:val="26"/>
        </w:rPr>
      </w:pPr>
      <w:r>
        <w:rPr>
          <w:sz w:val="26"/>
        </w:rPr>
        <w:t>Получатель платежа: УФК по Алтайскому краю (МТУ Росимущества в Алтайском крае и Республике Алтай);</w:t>
      </w:r>
    </w:p>
    <w:p w14:paraId="61000000">
      <w:pPr>
        <w:ind w:firstLine="720" w:left="0"/>
        <w:jc w:val="both"/>
        <w:rPr>
          <w:sz w:val="26"/>
        </w:rPr>
      </w:pPr>
      <w:r>
        <w:rPr>
          <w:sz w:val="26"/>
        </w:rPr>
        <w:t>ИНН/КПП Получателя: 2221172516/222101001;</w:t>
      </w:r>
    </w:p>
    <w:p w14:paraId="62000000">
      <w:pPr>
        <w:ind w:firstLine="720" w:left="0"/>
        <w:jc w:val="both"/>
        <w:rPr>
          <w:sz w:val="26"/>
        </w:rPr>
      </w:pPr>
      <w:r>
        <w:rPr>
          <w:sz w:val="26"/>
        </w:rPr>
        <w:t>Казначейский счет для учета доходов Получателя, открытый в территориальном органе Федерального Казначейства: 03100643000000011700;</w:t>
      </w:r>
    </w:p>
    <w:p w14:paraId="63000000">
      <w:pPr>
        <w:ind w:firstLine="720" w:left="0"/>
        <w:jc w:val="both"/>
        <w:rPr>
          <w:sz w:val="26"/>
        </w:rPr>
      </w:pPr>
      <w:r>
        <w:rPr>
          <w:sz w:val="26"/>
        </w:rPr>
        <w:t>Банк получателя: Отделение Барнаул//УФК по Алтайскому краю, г. Барнаул;</w:t>
      </w:r>
    </w:p>
    <w:p w14:paraId="64000000">
      <w:pPr>
        <w:ind w:firstLine="720" w:left="0"/>
        <w:jc w:val="both"/>
        <w:rPr>
          <w:sz w:val="26"/>
        </w:rPr>
      </w:pPr>
      <w:r>
        <w:rPr>
          <w:sz w:val="26"/>
        </w:rPr>
        <w:t>БИК банка получателя: 010173001;</w:t>
      </w:r>
    </w:p>
    <w:p w14:paraId="65000000">
      <w:pPr>
        <w:ind w:firstLine="720" w:left="0"/>
        <w:jc w:val="both"/>
        <w:rPr>
          <w:sz w:val="26"/>
        </w:rPr>
      </w:pPr>
      <w:r>
        <w:rPr>
          <w:sz w:val="26"/>
        </w:rPr>
        <w:t>Единый казначейский счет: 40102810045370000009;</w:t>
      </w:r>
    </w:p>
    <w:p w14:paraId="66000000">
      <w:pPr>
        <w:ind w:firstLine="720" w:left="0"/>
        <w:jc w:val="both"/>
        <w:rPr>
          <w:sz w:val="26"/>
        </w:rPr>
      </w:pPr>
      <w:r>
        <w:rPr>
          <w:sz w:val="26"/>
        </w:rPr>
        <w:t>Код ОКТМО: 01701000;</w:t>
      </w:r>
    </w:p>
    <w:p w14:paraId="67000000">
      <w:pPr>
        <w:ind w:firstLine="720" w:left="0"/>
        <w:jc w:val="both"/>
        <w:rPr>
          <w:sz w:val="26"/>
        </w:rPr>
      </w:pPr>
      <w:r>
        <w:rPr>
          <w:sz w:val="26"/>
        </w:rPr>
        <w:t xml:space="preserve">КБК 167 1 16 07090 01 9000 140. </w:t>
      </w:r>
    </w:p>
    <w:p w14:paraId="68000000">
      <w:pPr>
        <w:ind w:firstLine="720" w:left="0"/>
        <w:jc w:val="both"/>
        <w:rPr>
          <w:sz w:val="26"/>
        </w:rPr>
      </w:pPr>
      <w:r>
        <w:rPr>
          <w:sz w:val="26"/>
        </w:rPr>
        <w:t>Расторжение договора не освобождает Покупателя от уплаты штрафа.</w:t>
      </w:r>
    </w:p>
    <w:p w14:paraId="69000000">
      <w:pPr>
        <w:ind w:firstLine="720" w:left="0"/>
        <w:jc w:val="both"/>
        <w:rPr>
          <w:sz w:val="26"/>
        </w:rPr>
      </w:pPr>
      <w:r>
        <w:rPr>
          <w:sz w:val="26"/>
        </w:rPr>
        <w:t>5.4.</w:t>
      </w:r>
      <w:r>
        <w:rPr>
          <w:sz w:val="26"/>
        </w:rPr>
        <w:t xml:space="preserve"> За несоблюдение Продавцом сроков, установленных настоящим Договоро</w:t>
      </w:r>
      <w:r>
        <w:rPr>
          <w:sz w:val="26"/>
        </w:rPr>
        <w:t>м по отношению к обязательствам Продавца, последний уплачивает Покупателю штраф в размере 20 (двадцати) минимальных размеров оплаты труда, установленных на дату уплаты штрафа.</w:t>
      </w:r>
    </w:p>
    <w:p w14:paraId="6A000000">
      <w:pPr>
        <w:ind w:firstLine="720" w:left="0"/>
        <w:jc w:val="both"/>
        <w:rPr>
          <w:sz w:val="26"/>
        </w:rPr>
      </w:pPr>
    </w:p>
    <w:p w14:paraId="6B000000">
      <w:pPr>
        <w:ind/>
        <w:jc w:val="center"/>
        <w:rPr>
          <w:b w:val="1"/>
          <w:sz w:val="26"/>
        </w:rPr>
      </w:pPr>
      <w:r>
        <w:rPr>
          <w:b w:val="1"/>
          <w:sz w:val="26"/>
        </w:rPr>
        <w:t>Статья 6. Заключительные положения</w:t>
      </w:r>
    </w:p>
    <w:p w14:paraId="6C000000">
      <w:pPr>
        <w:ind/>
        <w:jc w:val="center"/>
        <w:rPr>
          <w:b w:val="1"/>
          <w:sz w:val="26"/>
        </w:rPr>
      </w:pPr>
    </w:p>
    <w:p w14:paraId="6D000000">
      <w:pPr>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6E000000">
      <w:pPr>
        <w:ind w:firstLine="720" w:left="0"/>
        <w:jc w:val="both"/>
        <w:rPr>
          <w:sz w:val="26"/>
        </w:rPr>
      </w:pPr>
      <w:r>
        <w:rPr>
          <w:sz w:val="26"/>
        </w:rPr>
        <w:t>6.2. Настоящий Договор вступает в силу с момента его подписания и прекращает свое действие:</w:t>
      </w:r>
    </w:p>
    <w:p w14:paraId="6F000000">
      <w:pPr>
        <w:ind w:firstLine="720" w:left="0"/>
        <w:jc w:val="both"/>
        <w:rPr>
          <w:sz w:val="26"/>
        </w:rPr>
      </w:pPr>
      <w:r>
        <w:rPr>
          <w:sz w:val="26"/>
        </w:rPr>
        <w:t>- исполнением Сторонами своих обязательств по настоящему Договору;</w:t>
      </w:r>
    </w:p>
    <w:p w14:paraId="70000000">
      <w:pPr>
        <w:ind w:firstLine="720" w:left="0"/>
        <w:jc w:val="both"/>
        <w:rPr>
          <w:sz w:val="26"/>
        </w:rPr>
      </w:pPr>
      <w:r>
        <w:rPr>
          <w:sz w:val="26"/>
        </w:rPr>
        <w:t>- в случае, предусмотренном пунктом 5.2. настоящего Договора;</w:t>
      </w:r>
    </w:p>
    <w:p w14:paraId="71000000">
      <w:pPr>
        <w:ind w:firstLine="720" w:left="0"/>
        <w:jc w:val="both"/>
        <w:rPr>
          <w:sz w:val="26"/>
        </w:rPr>
      </w:pPr>
      <w:r>
        <w:rPr>
          <w:sz w:val="26"/>
        </w:rPr>
        <w:t>- по иным основаниям, предусмотренным действующим законодательством.</w:t>
      </w:r>
    </w:p>
    <w:p w14:paraId="72000000">
      <w:pPr>
        <w:ind w:firstLine="720" w:left="0"/>
        <w:jc w:val="both"/>
        <w:rPr>
          <w:sz w:val="26"/>
        </w:rPr>
      </w:pPr>
      <w:r>
        <w:rPr>
          <w:sz w:val="26"/>
        </w:rPr>
        <w:t>6.3. Споры, возникающие между Сторонами в ходе исполнения настоящего Договора, рассматриваются в установленном действующим законодательством Российской Федерации порядке.</w:t>
      </w:r>
    </w:p>
    <w:p w14:paraId="73000000">
      <w:pPr>
        <w:ind w:firstLine="720" w:left="0"/>
        <w:jc w:val="both"/>
        <w:rPr>
          <w:b w:val="1"/>
          <w:sz w:val="26"/>
        </w:rPr>
      </w:pPr>
      <w:r>
        <w:rPr>
          <w:sz w:val="26"/>
        </w:rPr>
        <w:t>6.4. Настоящий Договор заключен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74000000">
      <w:pPr>
        <w:ind/>
        <w:jc w:val="center"/>
        <w:rPr>
          <w:b w:val="1"/>
          <w:sz w:val="26"/>
        </w:rPr>
      </w:pPr>
    </w:p>
    <w:p w14:paraId="75000000">
      <w:pPr>
        <w:ind/>
        <w:jc w:val="center"/>
        <w:rPr>
          <w:b w:val="1"/>
          <w:sz w:val="26"/>
        </w:rPr>
      </w:pPr>
    </w:p>
    <w:p w14:paraId="76000000">
      <w:pPr>
        <w:ind/>
        <w:jc w:val="center"/>
        <w:rPr>
          <w:b w:val="1"/>
          <w:sz w:val="26"/>
        </w:rPr>
      </w:pPr>
      <w:r>
        <w:rPr>
          <w:b w:val="1"/>
          <w:sz w:val="26"/>
        </w:rPr>
        <w:t>Статья 7. Реквизиты Сторон</w:t>
      </w:r>
    </w:p>
    <w:p w14:paraId="77000000">
      <w:pPr>
        <w:tabs>
          <w:tab w:leader="none" w:pos="0" w:val="left"/>
        </w:tabs>
        <w:ind/>
        <w:jc w:val="both"/>
        <w:rPr>
          <w:b w:val="1"/>
          <w:sz w:val="26"/>
        </w:rPr>
      </w:pPr>
    </w:p>
    <w:tbl>
      <w:tblPr>
        <w:tblStyle w:val="Style_5"/>
        <w:tblInd w:type="dxa" w:w="108"/>
        <w:tblLayout w:type="fixed"/>
      </w:tblPr>
      <w:tblGrid>
        <w:gridCol w:w="4536"/>
        <w:gridCol w:w="4820"/>
      </w:tblGrid>
      <w:tr>
        <w:tc>
          <w:tcPr>
            <w:tcW w:type="dxa" w:w="4536"/>
          </w:tcPr>
          <w:p w14:paraId="78000000">
            <w:pPr>
              <w:spacing w:after="120" w:before="120"/>
              <w:ind/>
              <w:outlineLvl w:val="1"/>
              <w:rPr>
                <w:b w:val="1"/>
                <w:sz w:val="26"/>
              </w:rPr>
            </w:pPr>
            <w:r>
              <w:rPr>
                <w:b w:val="1"/>
                <w:sz w:val="26"/>
              </w:rPr>
              <w:t xml:space="preserve">                  </w:t>
            </w:r>
            <w:r>
              <w:rPr>
                <w:b w:val="1"/>
                <w:sz w:val="26"/>
              </w:rPr>
              <w:t>Продавец</w:t>
            </w:r>
          </w:p>
          <w:p w14:paraId="79000000">
            <w:pPr>
              <w:spacing w:after="120" w:before="120"/>
              <w:ind/>
              <w:outlineLvl w:val="1"/>
              <w:rPr>
                <w:b w:val="1"/>
                <w:sz w:val="26"/>
              </w:rPr>
            </w:pPr>
            <w:r>
              <w:rPr>
                <w:b w:val="1"/>
                <w:sz w:val="26"/>
              </w:rPr>
              <w:t>_______________________</w:t>
            </w:r>
          </w:p>
        </w:tc>
        <w:tc>
          <w:tcPr>
            <w:tcW w:type="dxa" w:w="4820"/>
          </w:tcPr>
          <w:p w14:paraId="7A000000">
            <w:pPr>
              <w:spacing w:after="120" w:before="120"/>
              <w:ind/>
              <w:outlineLvl w:val="1"/>
              <w:rPr>
                <w:b w:val="1"/>
                <w:sz w:val="26"/>
              </w:rPr>
            </w:pPr>
            <w:r>
              <w:rPr>
                <w:b w:val="1"/>
                <w:sz w:val="26"/>
              </w:rPr>
              <w:t xml:space="preserve">                             </w:t>
            </w:r>
            <w:r>
              <w:rPr>
                <w:b w:val="1"/>
                <w:sz w:val="26"/>
              </w:rPr>
              <w:t>П</w:t>
            </w:r>
            <w:r>
              <w:rPr>
                <w:b w:val="1"/>
                <w:sz w:val="26"/>
              </w:rPr>
              <w:t>окупатель</w:t>
            </w:r>
          </w:p>
          <w:p w14:paraId="7B000000">
            <w:pPr>
              <w:spacing w:after="120" w:before="120"/>
              <w:ind/>
              <w:outlineLvl w:val="1"/>
              <w:rPr>
                <w:b w:val="1"/>
                <w:sz w:val="26"/>
              </w:rPr>
            </w:pPr>
            <w:r>
              <w:rPr>
                <w:b w:val="1"/>
                <w:sz w:val="26"/>
              </w:rPr>
              <w:t>_______________________________</w:t>
            </w:r>
          </w:p>
        </w:tc>
      </w:tr>
      <w:tr>
        <w:trPr>
          <w:trHeight w:hRule="atLeast" w:val="699"/>
        </w:trPr>
        <w:tc>
          <w:tcPr>
            <w:tcW w:type="dxa" w:w="4536"/>
          </w:tcPr>
          <w:p w14:paraId="7C000000">
            <w:pPr>
              <w:ind/>
              <w:jc w:val="both"/>
              <w:rPr>
                <w:sz w:val="26"/>
              </w:rPr>
            </w:pPr>
          </w:p>
          <w:p w14:paraId="7D000000">
            <w:pPr>
              <w:ind/>
              <w:jc w:val="both"/>
              <w:rPr>
                <w:sz w:val="26"/>
              </w:rPr>
            </w:pPr>
          </w:p>
        </w:tc>
        <w:tc>
          <w:tcPr>
            <w:tcW w:type="dxa" w:w="4820"/>
          </w:tcPr>
          <w:p w14:paraId="7E000000">
            <w:pPr>
              <w:ind/>
              <w:jc w:val="both"/>
              <w:rPr>
                <w:b w:val="1"/>
                <w:sz w:val="26"/>
              </w:rPr>
            </w:pPr>
          </w:p>
        </w:tc>
      </w:tr>
    </w:tbl>
    <w:p w14:paraId="7F000000">
      <w:pPr>
        <w:spacing w:after="120" w:before="120"/>
        <w:ind/>
        <w:jc w:val="center"/>
        <w:outlineLvl w:val="1"/>
        <w:rPr>
          <w:b w:val="1"/>
          <w:sz w:val="26"/>
        </w:rPr>
      </w:pPr>
      <w:r>
        <w:rPr>
          <w:b w:val="1"/>
          <w:sz w:val="26"/>
        </w:rPr>
        <w:t>Подписи</w:t>
      </w:r>
      <w:r>
        <w:rPr>
          <w:b w:val="1"/>
          <w:sz w:val="26"/>
        </w:rPr>
        <w:t xml:space="preserve"> </w:t>
      </w:r>
      <w:r>
        <w:rPr>
          <w:b w:val="1"/>
          <w:sz w:val="26"/>
        </w:rPr>
        <w:t>Сторон</w:t>
      </w:r>
    </w:p>
    <w:p w14:paraId="80000000">
      <w:pPr>
        <w:rPr>
          <w:sz w:val="26"/>
        </w:rPr>
      </w:pPr>
    </w:p>
    <w:p w14:paraId="81000000">
      <w:pPr>
        <w:ind/>
        <w:jc w:val="center"/>
        <w:rPr>
          <w:b w:val="1"/>
          <w:sz w:val="26"/>
        </w:rPr>
      </w:pPr>
      <w:r>
        <w:rPr>
          <w:b w:val="1"/>
          <w:sz w:val="26"/>
        </w:rPr>
        <w:t>Продавец                                                  Покупатель</w:t>
      </w:r>
    </w:p>
    <w:p w14:paraId="82000000">
      <w:pPr>
        <w:ind w:hanging="284" w:left="284"/>
        <w:jc w:val="both"/>
        <w:rPr>
          <w:sz w:val="26"/>
        </w:rPr>
      </w:pPr>
    </w:p>
    <w:p w14:paraId="83000000">
      <w:pPr>
        <w:ind w:hanging="284" w:left="284"/>
        <w:jc w:val="both"/>
        <w:rPr>
          <w:sz w:val="26"/>
        </w:rPr>
      </w:pPr>
    </w:p>
    <w:p w14:paraId="84000000">
      <w:pPr>
        <w:ind w:hanging="284" w:left="284"/>
        <w:jc w:val="both"/>
        <w:rPr>
          <w:sz w:val="26"/>
        </w:rPr>
      </w:pPr>
    </w:p>
    <w:p w14:paraId="85000000">
      <w:pPr>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footnote w:id="-1" w:type="separator">
    <w:p>
      <w:r>
        <w:separator/>
      </w:r>
    </w:p>
  </w:footnote>
  <w:footnote w:id="0" w:type="continuationSeparator">
    <w:p>
      <w:r>
        <w:continuationSeparator/>
      </w:r>
    </w:p>
  </w:footnote>
  <w:footnote w:id="1">
    <w:p w14:paraId="86000000">
      <w:pPr>
        <w:pStyle w:val="Style_35"/>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87000000">
      <w:pPr>
        <w:pStyle w:val="Style_35"/>
        <w:ind/>
        <w:jc w:val="both"/>
      </w:pPr>
      <w:r>
        <w:t xml:space="preserve"> 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center" w:y="1"/>
    </w:pPr>
    <w:r>
      <w:rPr>
        <w:rStyle w:val="Style_1_ch"/>
        <w:sz w:val="24"/>
      </w:rPr>
      <w:fldChar w:fldCharType="begin"/>
    </w:r>
    <w:r>
      <w:rPr>
        <w:rStyle w:val="Style_1_ch"/>
        <w:sz w:val="24"/>
      </w:rPr>
      <w:instrText xml:space="preserve">PAGE </w:instrText>
    </w:r>
    <w:r>
      <w:rPr>
        <w:rStyle w:val="Style_1_ch"/>
        <w:sz w:val="24"/>
      </w:rPr>
      <w:fldChar w:fldCharType="separate"/>
    </w:r>
    <w:r>
      <w:rPr>
        <w:rStyle w:val="Style_1_ch"/>
        <w:sz w:val="24"/>
      </w:rPr>
      <w:fldChar w:fldCharType="end"/>
    </w:r>
  </w:p>
  <w:p w14:paraId="01000000">
    <w:pPr>
      <w:pStyle w:val="Style_2"/>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bullet"/>
      <w:lvlText w:val=""/>
      <w:lvlJc w:val="left"/>
      <w:pPr>
        <w:tabs>
          <w:tab w:leader="none" w:pos="928" w:val="left"/>
        </w:tabs>
        <w:ind w:hanging="360" w:left="928"/>
      </w:pPr>
      <w:rPr>
        <w:rFonts w:ascii="Symbol" w:hAnsi="Symbol"/>
      </w:rPr>
    </w:lvl>
    <w:lvl w:ilvl="1">
      <w:start w:val="1"/>
      <w:numFmt w:val="bullet"/>
      <w:lvlText w:val="o"/>
      <w:lvlJc w:val="left"/>
      <w:pPr>
        <w:tabs>
          <w:tab w:leader="none" w:pos="1440" w:val="left"/>
        </w:tabs>
        <w:ind w:hanging="360" w:left="1440"/>
      </w:pPr>
      <w:rPr>
        <w:rFonts w:ascii="Courier New" w:hAnsi="Courier New"/>
      </w:rPr>
    </w:lvl>
    <w:lvl w:ilvl="2">
      <w:start w:val="1"/>
      <w:numFmt w:val="bullet"/>
      <w:lvlText w:val=""/>
      <w:lvlJc w:val="left"/>
      <w:pPr>
        <w:tabs>
          <w:tab w:leader="none" w:pos="2160" w:val="left"/>
        </w:tabs>
        <w:ind w:hanging="360" w:left="2160"/>
      </w:pPr>
      <w:rPr>
        <w:rFonts w:ascii="Wingdings" w:hAnsi="Wingdings"/>
      </w:rPr>
    </w:lvl>
    <w:lvl w:ilvl="3">
      <w:start w:val="1"/>
      <w:numFmt w:val="bullet"/>
      <w:lvlText w:val=""/>
      <w:lvlJc w:val="left"/>
      <w:pPr>
        <w:tabs>
          <w:tab w:leader="none" w:pos="2880" w:val="left"/>
        </w:tabs>
        <w:ind w:hanging="360" w:left="2880"/>
      </w:pPr>
      <w:rPr>
        <w:rFonts w:ascii="Symbol" w:hAnsi="Symbol"/>
      </w:rPr>
    </w:lvl>
    <w:lvl w:ilvl="4">
      <w:start w:val="1"/>
      <w:numFmt w:val="bullet"/>
      <w:lvlText w:val="o"/>
      <w:lvlJc w:val="left"/>
      <w:pPr>
        <w:tabs>
          <w:tab w:leader="none" w:pos="3600" w:val="left"/>
        </w:tabs>
        <w:ind w:hanging="360" w:left="3600"/>
      </w:pPr>
      <w:rPr>
        <w:rFonts w:ascii="Courier New" w:hAnsi="Courier New"/>
      </w:rPr>
    </w:lvl>
    <w:lvl w:ilvl="5">
      <w:start w:val="1"/>
      <w:numFmt w:val="bullet"/>
      <w:lvlText w:val=""/>
      <w:lvlJc w:val="left"/>
      <w:pPr>
        <w:tabs>
          <w:tab w:leader="none" w:pos="4320" w:val="left"/>
        </w:tabs>
        <w:ind w:hanging="360" w:left="4320"/>
      </w:pPr>
      <w:rPr>
        <w:rFonts w:ascii="Wingdings" w:hAnsi="Wingdings"/>
      </w:rPr>
    </w:lvl>
    <w:lvl w:ilvl="6">
      <w:start w:val="1"/>
      <w:numFmt w:val="bullet"/>
      <w:lvlText w:val=""/>
      <w:lvlJc w:val="left"/>
      <w:pPr>
        <w:tabs>
          <w:tab w:leader="none" w:pos="5040" w:val="left"/>
        </w:tabs>
        <w:ind w:hanging="360" w:left="5040"/>
      </w:pPr>
      <w:rPr>
        <w:rFonts w:ascii="Symbol" w:hAnsi="Symbol"/>
      </w:rPr>
    </w:lvl>
    <w:lvl w:ilvl="7">
      <w:start w:val="1"/>
      <w:numFmt w:val="bullet"/>
      <w:lvlText w:val="o"/>
      <w:lvlJc w:val="left"/>
      <w:pPr>
        <w:tabs>
          <w:tab w:leader="none" w:pos="5760" w:val="left"/>
        </w:tabs>
        <w:ind w:hanging="360" w:left="5760"/>
      </w:pPr>
      <w:rPr>
        <w:rFonts w:ascii="Courier New" w:hAnsi="Courier New"/>
      </w:rPr>
    </w:lvl>
    <w:lvl w:ilvl="8">
      <w:start w:val="1"/>
      <w:numFmt w:val="bullet"/>
      <w:lvlText w:val=""/>
      <w:lvlJc w:val="left"/>
      <w:pPr>
        <w:tabs>
          <w:tab w:leader="none" w:pos="6480" w:val="left"/>
        </w:tabs>
        <w:ind w:hanging="360" w:left="6480"/>
      </w:pPr>
      <w:rPr>
        <w:rFonts w:ascii="Wingdings" w:hAnsi="Wingdings"/>
      </w:rPr>
    </w:lvl>
  </w:abstractNum>
  <w:abstractNum w:abstractNumId="1">
    <w:lvl w:ilvl="0">
      <w:start w:val="3"/>
      <w:numFmt w:val="upperRoman"/>
      <w:pStyle w:val="Style_31"/>
      <w:lvlText w:val="%1."/>
      <w:lvlJc w:val="left"/>
      <w:pPr>
        <w:tabs>
          <w:tab w:leader="none" w:pos="720" w:val="left"/>
        </w:tabs>
        <w:ind w:firstLine="0" w:left="0"/>
      </w:pPr>
      <w:rPr>
        <w:spacing w:val="0"/>
      </w:rPr>
    </w:lvl>
  </w:abstractNum>
  <w:abstractNum w:abstractNumId="2">
    <w:lvl w:ilvl="0">
      <w:start w:val="3"/>
      <w:numFmt w:val="upperRoman"/>
      <w:pStyle w:val="Style_47"/>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6" w:type="paragraph">
    <w:name w:val="Normal"/>
    <w:link w:val="Style_6_ch"/>
    <w:uiPriority w:val="0"/>
    <w:qFormat/>
  </w:style>
  <w:style w:default="1" w:styleId="Style_6_ch" w:type="character">
    <w:name w:val="Normal"/>
    <w:link w:val="Style_6"/>
  </w:style>
  <w:style w:styleId="Style_7" w:type="paragraph">
    <w:name w:val="annotation reference"/>
    <w:basedOn w:val="Style_8"/>
    <w:link w:val="Style_7_ch"/>
    <w:rPr>
      <w:sz w:val="16"/>
    </w:rPr>
  </w:style>
  <w:style w:styleId="Style_7_ch" w:type="character">
    <w:name w:val="annotation reference"/>
    <w:basedOn w:val="Style_8_ch"/>
    <w:link w:val="Style_7"/>
    <w:rPr>
      <w:sz w:val="16"/>
    </w:rPr>
  </w:style>
  <w:style w:styleId="Style_9" w:type="paragraph">
    <w:name w:val="Знак"/>
    <w:basedOn w:val="Style_6"/>
    <w:link w:val="Style_9_ch"/>
    <w:pPr>
      <w:spacing w:after="160" w:line="240" w:lineRule="exact"/>
      <w:ind/>
    </w:pPr>
    <w:rPr>
      <w:sz w:val="24"/>
    </w:rPr>
  </w:style>
  <w:style w:styleId="Style_9_ch" w:type="character">
    <w:name w:val="Знак"/>
    <w:basedOn w:val="Style_6_ch"/>
    <w:link w:val="Style_9"/>
    <w:rPr>
      <w:sz w:val="24"/>
    </w:rPr>
  </w:style>
  <w:style w:styleId="Style_10" w:type="paragraph">
    <w:name w:val="toc 2"/>
    <w:next w:val="Style_6"/>
    <w:link w:val="Style_10_ch"/>
    <w:uiPriority w:val="39"/>
    <w:pPr>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1" w:type="paragraph">
    <w:name w:val="toc 4"/>
    <w:next w:val="Style_6"/>
    <w:link w:val="Style_11_ch"/>
    <w:uiPriority w:val="39"/>
    <w:pPr>
      <w:ind w:firstLine="0" w:left="600"/>
      <w:jc w:val="left"/>
    </w:pPr>
    <w:rPr>
      <w:rFonts w:ascii="XO Thames" w:hAnsi="XO Thames"/>
      <w:sz w:val="28"/>
    </w:rPr>
  </w:style>
  <w:style w:styleId="Style_11_ch" w:type="character">
    <w:name w:val="toc 4"/>
    <w:link w:val="Style_11"/>
    <w:rPr>
      <w:rFonts w:ascii="XO Thames" w:hAnsi="XO Thames"/>
      <w:sz w:val="28"/>
    </w:rPr>
  </w:style>
  <w:style w:styleId="Style_12" w:type="paragraph">
    <w:name w:val="Знак"/>
    <w:basedOn w:val="Style_6"/>
    <w:link w:val="Style_12_ch"/>
    <w:pPr>
      <w:spacing w:after="160" w:line="240" w:lineRule="exact"/>
      <w:ind/>
    </w:pPr>
    <w:rPr>
      <w:sz w:val="24"/>
    </w:rPr>
  </w:style>
  <w:style w:styleId="Style_12_ch" w:type="character">
    <w:name w:val="Знак"/>
    <w:basedOn w:val="Style_6_ch"/>
    <w:link w:val="Style_12"/>
    <w:rPr>
      <w:sz w:val="24"/>
    </w:rPr>
  </w:style>
  <w:style w:styleId="Style_13" w:type="paragraph">
    <w:name w:val="toc 6"/>
    <w:next w:val="Style_6"/>
    <w:link w:val="Style_13_ch"/>
    <w:uiPriority w:val="39"/>
    <w:pPr>
      <w:ind w:firstLine="0" w:left="1000"/>
      <w:jc w:val="left"/>
    </w:pPr>
    <w:rPr>
      <w:rFonts w:ascii="XO Thames" w:hAnsi="XO Thames"/>
      <w:sz w:val="28"/>
    </w:rPr>
  </w:style>
  <w:style w:styleId="Style_13_ch" w:type="character">
    <w:name w:val="toc 6"/>
    <w:link w:val="Style_13"/>
    <w:rPr>
      <w:rFonts w:ascii="XO Thames" w:hAnsi="XO Thames"/>
      <w:sz w:val="28"/>
    </w:rPr>
  </w:style>
  <w:style w:styleId="Style_14" w:type="paragraph">
    <w:name w:val="toc 7"/>
    <w:next w:val="Style_6"/>
    <w:link w:val="Style_14_ch"/>
    <w:uiPriority w:val="39"/>
    <w:pPr>
      <w:ind w:firstLine="0" w:left="1200"/>
      <w:jc w:val="left"/>
    </w:pPr>
    <w:rPr>
      <w:rFonts w:ascii="XO Thames" w:hAnsi="XO Thames"/>
      <w:sz w:val="28"/>
    </w:rPr>
  </w:style>
  <w:style w:styleId="Style_14_ch" w:type="character">
    <w:name w:val="toc 7"/>
    <w:link w:val="Style_14"/>
    <w:rPr>
      <w:rFonts w:ascii="XO Thames" w:hAnsi="XO Thames"/>
      <w:sz w:val="28"/>
    </w:rPr>
  </w:style>
  <w:style w:styleId="Style_15" w:type="paragraph">
    <w:name w:val="Body Text Indent 3"/>
    <w:basedOn w:val="Style_6"/>
    <w:link w:val="Style_15_ch"/>
    <w:pPr>
      <w:spacing w:after="120"/>
      <w:ind w:firstLine="720" w:left="0"/>
      <w:jc w:val="both"/>
    </w:pPr>
    <w:rPr>
      <w:b w:val="1"/>
      <w:sz w:val="28"/>
    </w:rPr>
  </w:style>
  <w:style w:styleId="Style_15_ch" w:type="character">
    <w:name w:val="Body Text Indent 3"/>
    <w:basedOn w:val="Style_6_ch"/>
    <w:link w:val="Style_15"/>
    <w:rPr>
      <w:b w:val="1"/>
      <w:sz w:val="28"/>
    </w:rPr>
  </w:style>
  <w:style w:styleId="Style_16"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6"/>
    <w:link w:val="Style_16_ch"/>
    <w:pPr>
      <w:spacing w:after="160" w:line="240" w:lineRule="exact"/>
      <w:ind/>
    </w:pPr>
    <w:rPr>
      <w:rFonts w:ascii="Verdana" w:hAnsi="Verdana"/>
    </w:rPr>
  </w:style>
  <w:style w:styleId="Style_16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6_ch"/>
    <w:link w:val="Style_16"/>
    <w:rPr>
      <w:rFonts w:ascii="Verdana" w:hAnsi="Verdana"/>
    </w:rPr>
  </w:style>
  <w:style w:styleId="Style_17" w:type="paragraph">
    <w:name w:val="4. Текст"/>
    <w:basedOn w:val="Style_18"/>
    <w:link w:val="Style_17_ch"/>
    <w:pPr>
      <w:keepNext w:val="1"/>
      <w:keepLines w:val="1"/>
      <w:widowControl w:val="0"/>
      <w:ind/>
      <w:jc w:val="both"/>
    </w:pPr>
    <w:rPr>
      <w:color w:val="000000"/>
      <w:spacing w:val="2"/>
      <w:sz w:val="28"/>
    </w:rPr>
  </w:style>
  <w:style w:styleId="Style_17_ch" w:type="character">
    <w:name w:val="4. Текст"/>
    <w:basedOn w:val="Style_18_ch"/>
    <w:link w:val="Style_17"/>
    <w:rPr>
      <w:color w:val="000000"/>
      <w:spacing w:val="2"/>
      <w:sz w:val="28"/>
    </w:rPr>
  </w:style>
  <w:style w:styleId="Style_19" w:type="paragraph">
    <w:basedOn w:val="Style_6"/>
    <w:link w:val="Style_19_ch"/>
    <w:semiHidden w:val="1"/>
    <w:unhideWhenUsed w:val="1"/>
    <w:pPr>
      <w:spacing w:after="160" w:line="240" w:lineRule="exact"/>
      <w:ind/>
    </w:pPr>
    <w:rPr>
      <w:sz w:val="24"/>
    </w:rPr>
  </w:style>
  <w:style w:styleId="Style_19_ch" w:type="character">
    <w:basedOn w:val="Style_6_ch"/>
    <w:link w:val="Style_19"/>
    <w:semiHidden w:val="1"/>
    <w:unhideWhenUsed w:val="1"/>
    <w:rPr>
      <w:sz w:val="24"/>
    </w:rPr>
  </w:style>
  <w:style w:styleId="Style_20" w:type="paragraph">
    <w:name w:val="heading 3"/>
    <w:basedOn w:val="Style_6"/>
    <w:next w:val="Style_6"/>
    <w:link w:val="Style_20_ch"/>
    <w:uiPriority w:val="9"/>
    <w:qFormat/>
    <w:pPr>
      <w:keepNext w:val="1"/>
      <w:keepLines w:val="1"/>
      <w:spacing w:before="200"/>
      <w:ind/>
      <w:outlineLvl w:val="2"/>
    </w:pPr>
    <w:rPr>
      <w:rFonts w:asciiTheme="majorAscii" w:hAnsiTheme="majorHAnsi"/>
      <w:b w:val="1"/>
      <w:color w:themeColor="accent1" w:val="4F81BD"/>
    </w:rPr>
  </w:style>
  <w:style w:styleId="Style_20_ch" w:type="character">
    <w:name w:val="heading 3"/>
    <w:basedOn w:val="Style_6_ch"/>
    <w:link w:val="Style_20"/>
    <w:rPr>
      <w:rFonts w:asciiTheme="majorAscii" w:hAnsiTheme="majorHAnsi"/>
      <w:b w:val="1"/>
      <w:color w:themeColor="accent1" w:val="4F81BD"/>
    </w:rPr>
  </w:style>
  <w:style w:styleId="Style_21" w:type="paragraph">
    <w:name w:val="Font Style13"/>
    <w:basedOn w:val="Style_8"/>
    <w:link w:val="Style_21_ch"/>
    <w:rPr>
      <w:rFonts w:ascii="Times New Roman" w:hAnsi="Times New Roman"/>
    </w:rPr>
  </w:style>
  <w:style w:styleId="Style_21_ch" w:type="character">
    <w:name w:val="Font Style13"/>
    <w:basedOn w:val="Style_8_ch"/>
    <w:link w:val="Style_21"/>
    <w:rPr>
      <w:rFonts w:ascii="Times New Roman" w:hAnsi="Times New Roman"/>
    </w:rPr>
  </w:style>
  <w:style w:styleId="Style_22" w:type="paragraph">
    <w:name w:val="ConsPlusNonformat"/>
    <w:link w:val="Style_22_ch"/>
    <w:pPr>
      <w:widowControl w:val="0"/>
      <w:ind/>
    </w:pPr>
    <w:rPr>
      <w:rFonts w:ascii="Courier New" w:hAnsi="Courier New"/>
    </w:rPr>
  </w:style>
  <w:style w:styleId="Style_22_ch" w:type="character">
    <w:name w:val="ConsPlusNonformat"/>
    <w:link w:val="Style_22"/>
    <w:rPr>
      <w:rFonts w:ascii="Courier New" w:hAnsi="Courier New"/>
    </w:rPr>
  </w:style>
  <w:style w:styleId="Style_23" w:type="paragraph">
    <w:name w:val="Знак Знак Знак"/>
    <w:basedOn w:val="Style_6"/>
    <w:link w:val="Style_23_ch"/>
    <w:pPr>
      <w:spacing w:after="160" w:line="240" w:lineRule="exact"/>
      <w:ind/>
    </w:pPr>
    <w:rPr>
      <w:sz w:val="24"/>
    </w:rPr>
  </w:style>
  <w:style w:styleId="Style_23_ch" w:type="character">
    <w:name w:val="Знак Знак Знак"/>
    <w:basedOn w:val="Style_6_ch"/>
    <w:link w:val="Style_23"/>
    <w:rPr>
      <w:sz w:val="24"/>
    </w:rPr>
  </w:style>
  <w:style w:styleId="Style_24" w:type="paragraph">
    <w:name w:val="annotation subject"/>
    <w:basedOn w:val="Style_18"/>
    <w:next w:val="Style_18"/>
    <w:link w:val="Style_24_ch"/>
    <w:rPr>
      <w:b w:val="1"/>
    </w:rPr>
  </w:style>
  <w:style w:styleId="Style_24_ch" w:type="character">
    <w:name w:val="annotation subject"/>
    <w:basedOn w:val="Style_18_ch"/>
    <w:link w:val="Style_24"/>
    <w:rPr>
      <w:b w:val="1"/>
    </w:rPr>
  </w:style>
  <w:style w:styleId="Style_25" w:type="paragraph">
    <w:name w:val="Знак"/>
    <w:basedOn w:val="Style_6"/>
    <w:link w:val="Style_25_ch"/>
    <w:pPr>
      <w:spacing w:after="160" w:line="240" w:lineRule="exact"/>
      <w:ind/>
    </w:pPr>
    <w:rPr>
      <w:sz w:val="24"/>
    </w:rPr>
  </w:style>
  <w:style w:styleId="Style_25_ch" w:type="character">
    <w:name w:val="Знак"/>
    <w:basedOn w:val="Style_6_ch"/>
    <w:link w:val="Style_25"/>
    <w:rPr>
      <w:sz w:val="24"/>
    </w:rPr>
  </w:style>
  <w:style w:styleId="Style_26"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6"/>
    <w:link w:val="Style_26_ch"/>
    <w:pPr>
      <w:spacing w:after="160" w:line="240" w:lineRule="exact"/>
      <w:ind/>
    </w:pPr>
    <w:rPr>
      <w:rFonts w:ascii="Verdana" w:hAnsi="Verdana"/>
    </w:rPr>
  </w:style>
  <w:style w:styleId="Style_26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6_ch"/>
    <w:link w:val="Style_26"/>
    <w:rPr>
      <w:rFonts w:ascii="Verdana" w:hAnsi="Verdana"/>
    </w:rPr>
  </w:style>
  <w:style w:styleId="Style_27" w:type="paragraph">
    <w:name w:val="Знак"/>
    <w:basedOn w:val="Style_6"/>
    <w:link w:val="Style_27_ch"/>
    <w:pPr>
      <w:spacing w:after="160" w:line="240" w:lineRule="exact"/>
      <w:ind/>
    </w:pPr>
    <w:rPr>
      <w:sz w:val="24"/>
    </w:rPr>
  </w:style>
  <w:style w:styleId="Style_27_ch" w:type="character">
    <w:name w:val="Знак"/>
    <w:basedOn w:val="Style_6_ch"/>
    <w:link w:val="Style_27"/>
    <w:rPr>
      <w:sz w:val="24"/>
    </w:rPr>
  </w:style>
  <w:style w:styleId="Style_28" w:type="paragraph">
    <w:name w:val="toc 3"/>
    <w:next w:val="Style_6"/>
    <w:link w:val="Style_28_ch"/>
    <w:uiPriority w:val="39"/>
    <w:pPr>
      <w:ind w:firstLine="0" w:left="400"/>
      <w:jc w:val="left"/>
    </w:pPr>
    <w:rPr>
      <w:rFonts w:ascii="XO Thames" w:hAnsi="XO Thames"/>
      <w:sz w:val="28"/>
    </w:rPr>
  </w:style>
  <w:style w:styleId="Style_28_ch" w:type="character">
    <w:name w:val="toc 3"/>
    <w:link w:val="Style_28"/>
    <w:rPr>
      <w:rFonts w:ascii="XO Thames" w:hAnsi="XO Thames"/>
      <w:sz w:val="28"/>
    </w:rPr>
  </w:style>
  <w:style w:styleId="Style_2" w:type="paragraph">
    <w:name w:val="header"/>
    <w:basedOn w:val="Style_6"/>
    <w:link w:val="Style_2_ch"/>
    <w:pPr>
      <w:tabs>
        <w:tab w:leader="none" w:pos="4153" w:val="center"/>
        <w:tab w:leader="none" w:pos="8306" w:val="right"/>
      </w:tabs>
      <w:ind/>
    </w:pPr>
  </w:style>
  <w:style w:styleId="Style_2_ch" w:type="character">
    <w:name w:val="header"/>
    <w:basedOn w:val="Style_6_ch"/>
    <w:link w:val="Style_2"/>
  </w:style>
  <w:style w:styleId="Style_29" w:type="paragraph">
    <w:name w:val="heading 5"/>
    <w:next w:val="Style_6"/>
    <w:link w:val="Style_29_ch"/>
    <w:uiPriority w:val="9"/>
    <w:qFormat/>
    <w:pPr>
      <w:spacing w:after="120" w:before="120"/>
      <w:ind/>
      <w:jc w:val="both"/>
      <w:outlineLvl w:val="4"/>
    </w:pPr>
    <w:rPr>
      <w:rFonts w:ascii="XO Thames" w:hAnsi="XO Thames"/>
      <w:b w:val="1"/>
      <w:sz w:val="22"/>
    </w:rPr>
  </w:style>
  <w:style w:styleId="Style_29_ch" w:type="character">
    <w:name w:val="heading 5"/>
    <w:link w:val="Style_29"/>
    <w:rPr>
      <w:rFonts w:ascii="XO Thames" w:hAnsi="XO Thames"/>
      <w:b w:val="1"/>
      <w:sz w:val="22"/>
    </w:rPr>
  </w:style>
  <w:style w:styleId="Style_30" w:type="paragraph">
    <w:name w:val="Body Text 3"/>
    <w:basedOn w:val="Style_6"/>
    <w:link w:val="Style_30_ch"/>
    <w:pPr>
      <w:spacing w:line="264" w:lineRule="auto"/>
      <w:ind/>
    </w:pPr>
    <w:rPr>
      <w:sz w:val="28"/>
    </w:rPr>
  </w:style>
  <w:style w:styleId="Style_30_ch" w:type="character">
    <w:name w:val="Body Text 3"/>
    <w:basedOn w:val="Style_6_ch"/>
    <w:link w:val="Style_30"/>
    <w:rPr>
      <w:sz w:val="28"/>
    </w:rPr>
  </w:style>
  <w:style w:styleId="Style_31" w:type="paragraph">
    <w:name w:val="heading 1"/>
    <w:basedOn w:val="Style_6"/>
    <w:next w:val="Style_6"/>
    <w:link w:val="Style_31_ch"/>
    <w:uiPriority w:val="9"/>
    <w:qFormat/>
    <w:pPr>
      <w:keepNext w:val="1"/>
      <w:numPr>
        <w:numId w:val="2"/>
      </w:numPr>
      <w:spacing w:line="264" w:lineRule="auto"/>
      <w:ind/>
      <w:jc w:val="center"/>
      <w:outlineLvl w:val="0"/>
    </w:pPr>
    <w:rPr>
      <w:b w:val="1"/>
      <w:sz w:val="28"/>
    </w:rPr>
  </w:style>
  <w:style w:styleId="Style_31_ch" w:type="character">
    <w:name w:val="heading 1"/>
    <w:basedOn w:val="Style_6_ch"/>
    <w:link w:val="Style_31"/>
    <w:rPr>
      <w:b w:val="1"/>
      <w:sz w:val="28"/>
    </w:rPr>
  </w:style>
  <w:style w:styleId="Style_32" w:type="paragraph">
    <w:name w:val="Body Text"/>
    <w:basedOn w:val="Style_6"/>
    <w:link w:val="Style_32_ch"/>
    <w:pPr>
      <w:ind/>
      <w:jc w:val="both"/>
    </w:pPr>
    <w:rPr>
      <w:sz w:val="24"/>
    </w:rPr>
  </w:style>
  <w:style w:styleId="Style_32_ch" w:type="character">
    <w:name w:val="Body Text"/>
    <w:basedOn w:val="Style_6_ch"/>
    <w:link w:val="Style_32"/>
    <w:rPr>
      <w:sz w:val="24"/>
    </w:rPr>
  </w:style>
  <w:style w:styleId="Style_33" w:type="paragraph">
    <w:name w:val="Body Text Indent 2"/>
    <w:basedOn w:val="Style_6"/>
    <w:link w:val="Style_33_ch"/>
    <w:pPr>
      <w:ind w:firstLine="720" w:left="0"/>
      <w:jc w:val="both"/>
    </w:pPr>
    <w:rPr>
      <w:sz w:val="24"/>
    </w:rPr>
  </w:style>
  <w:style w:styleId="Style_33_ch" w:type="character">
    <w:name w:val="Body Text Indent 2"/>
    <w:basedOn w:val="Style_6_ch"/>
    <w:link w:val="Style_33"/>
    <w:rPr>
      <w:sz w:val="24"/>
    </w:rPr>
  </w:style>
  <w:style w:styleId="Style_34" w:type="paragraph">
    <w:name w:val="Hyperlink"/>
    <w:link w:val="Style_34_ch"/>
    <w:rPr>
      <w:color w:val="0000FF"/>
      <w:u w:val="single"/>
    </w:rPr>
  </w:style>
  <w:style w:styleId="Style_34_ch" w:type="character">
    <w:name w:val="Hyperlink"/>
    <w:link w:val="Style_34"/>
    <w:rPr>
      <w:color w:val="0000FF"/>
      <w:u w:val="single"/>
    </w:rPr>
  </w:style>
  <w:style w:styleId="Style_35" w:type="paragraph">
    <w:name w:val="Footnote"/>
    <w:basedOn w:val="Style_6"/>
    <w:link w:val="Style_35_ch"/>
  </w:style>
  <w:style w:styleId="Style_35_ch" w:type="character">
    <w:name w:val="Footnote"/>
    <w:basedOn w:val="Style_6_ch"/>
    <w:link w:val="Style_35"/>
  </w:style>
  <w:style w:styleId="Style_36" w:type="paragraph">
    <w:name w:val="toc 1"/>
    <w:next w:val="Style_6"/>
    <w:link w:val="Style_36_ch"/>
    <w:uiPriority w:val="39"/>
    <w:pPr>
      <w:ind w:firstLine="0" w:left="0"/>
      <w:jc w:val="left"/>
    </w:pPr>
    <w:rPr>
      <w:rFonts w:ascii="XO Thames" w:hAnsi="XO Thames"/>
      <w:b w:val="1"/>
      <w:sz w:val="28"/>
    </w:rPr>
  </w:style>
  <w:style w:styleId="Style_36_ch" w:type="character">
    <w:name w:val="toc 1"/>
    <w:link w:val="Style_36"/>
    <w:rPr>
      <w:rFonts w:ascii="XO Thames" w:hAnsi="XO Thames"/>
      <w:b w:val="1"/>
      <w:sz w:val="28"/>
    </w:rPr>
  </w:style>
  <w:style w:styleId="Style_37" w:type="paragraph">
    <w:name w:val="Header and Footer"/>
    <w:link w:val="Style_37_ch"/>
    <w:pPr>
      <w:spacing w:line="240" w:lineRule="auto"/>
      <w:ind/>
      <w:jc w:val="both"/>
    </w:pPr>
    <w:rPr>
      <w:rFonts w:ascii="XO Thames" w:hAnsi="XO Thames"/>
      <w:sz w:val="20"/>
    </w:rPr>
  </w:style>
  <w:style w:styleId="Style_37_ch" w:type="character">
    <w:name w:val="Header and Footer"/>
    <w:link w:val="Style_37"/>
    <w:rPr>
      <w:rFonts w:ascii="XO Thames" w:hAnsi="XO Thames"/>
      <w:sz w:val="20"/>
    </w:rPr>
  </w:style>
  <w:style w:styleId="Style_18" w:type="paragraph">
    <w:name w:val="annotation text"/>
    <w:basedOn w:val="Style_6"/>
    <w:link w:val="Style_18_ch"/>
  </w:style>
  <w:style w:styleId="Style_18_ch" w:type="character">
    <w:name w:val="annotation text"/>
    <w:basedOn w:val="Style_6_ch"/>
    <w:link w:val="Style_18"/>
  </w:style>
  <w:style w:styleId="Style_1" w:type="paragraph">
    <w:name w:val="page number"/>
    <w:basedOn w:val="Style_8"/>
    <w:link w:val="Style_1_ch"/>
  </w:style>
  <w:style w:styleId="Style_1_ch" w:type="character">
    <w:name w:val="page number"/>
    <w:basedOn w:val="Style_8_ch"/>
    <w:link w:val="Style_1"/>
  </w:style>
  <w:style w:styleId="Style_38" w:type="paragraph">
    <w:name w:val="toc 9"/>
    <w:next w:val="Style_6"/>
    <w:link w:val="Style_38_ch"/>
    <w:uiPriority w:val="39"/>
    <w:pPr>
      <w:ind w:firstLine="0" w:left="1600"/>
      <w:jc w:val="left"/>
    </w:pPr>
    <w:rPr>
      <w:rFonts w:ascii="XO Thames" w:hAnsi="XO Thames"/>
      <w:sz w:val="28"/>
    </w:rPr>
  </w:style>
  <w:style w:styleId="Style_38_ch" w:type="character">
    <w:name w:val="toc 9"/>
    <w:link w:val="Style_38"/>
    <w:rPr>
      <w:rFonts w:ascii="XO Thames" w:hAnsi="XO Thames"/>
      <w:sz w:val="28"/>
    </w:rPr>
  </w:style>
  <w:style w:styleId="Style_39" w:type="paragraph">
    <w:name w:val="Balloon Text"/>
    <w:basedOn w:val="Style_6"/>
    <w:link w:val="Style_39_ch"/>
    <w:rPr>
      <w:rFonts w:ascii="Tahoma" w:hAnsi="Tahoma"/>
      <w:sz w:val="16"/>
    </w:rPr>
  </w:style>
  <w:style w:styleId="Style_39_ch" w:type="character">
    <w:name w:val="Balloon Text"/>
    <w:basedOn w:val="Style_6_ch"/>
    <w:link w:val="Style_39"/>
    <w:rPr>
      <w:rFonts w:ascii="Tahoma" w:hAnsi="Tahoma"/>
      <w:sz w:val="16"/>
    </w:rPr>
  </w:style>
  <w:style w:styleId="Style_40" w:type="paragraph">
    <w:name w:val="toc 8"/>
    <w:next w:val="Style_6"/>
    <w:link w:val="Style_40_ch"/>
    <w:uiPriority w:val="39"/>
    <w:pPr>
      <w:ind w:firstLine="0" w:left="1400"/>
      <w:jc w:val="left"/>
    </w:pPr>
    <w:rPr>
      <w:rFonts w:ascii="XO Thames" w:hAnsi="XO Thames"/>
      <w:sz w:val="28"/>
    </w:rPr>
  </w:style>
  <w:style w:styleId="Style_40_ch" w:type="character">
    <w:name w:val="toc 8"/>
    <w:link w:val="Style_40"/>
    <w:rPr>
      <w:rFonts w:ascii="XO Thames" w:hAnsi="XO Thames"/>
      <w:sz w:val="28"/>
    </w:rPr>
  </w:style>
  <w:style w:styleId="Style_8" w:type="paragraph">
    <w:name w:val="Default Paragraph Font"/>
    <w:link w:val="Style_8_ch"/>
  </w:style>
  <w:style w:styleId="Style_8_ch" w:type="character">
    <w:name w:val="Default Paragraph Font"/>
    <w:link w:val="Style_8"/>
  </w:style>
  <w:style w:styleId="Style_41" w:type="paragraph">
    <w:name w:val="Знак"/>
    <w:basedOn w:val="Style_6"/>
    <w:link w:val="Style_41_ch"/>
    <w:pPr>
      <w:spacing w:after="160" w:line="240" w:lineRule="exact"/>
      <w:ind/>
    </w:pPr>
    <w:rPr>
      <w:sz w:val="24"/>
    </w:rPr>
  </w:style>
  <w:style w:styleId="Style_41_ch" w:type="character">
    <w:name w:val="Знак"/>
    <w:basedOn w:val="Style_6_ch"/>
    <w:link w:val="Style_41"/>
    <w:rPr>
      <w:sz w:val="24"/>
    </w:rPr>
  </w:style>
  <w:style w:styleId="Style_42" w:type="paragraph">
    <w:name w:val="toc 5"/>
    <w:next w:val="Style_6"/>
    <w:link w:val="Style_42_ch"/>
    <w:uiPriority w:val="39"/>
    <w:pPr>
      <w:ind w:firstLine="0" w:left="800"/>
      <w:jc w:val="left"/>
    </w:pPr>
    <w:rPr>
      <w:rFonts w:ascii="XO Thames" w:hAnsi="XO Thames"/>
      <w:sz w:val="28"/>
    </w:rPr>
  </w:style>
  <w:style w:styleId="Style_42_ch" w:type="character">
    <w:name w:val="toc 5"/>
    <w:link w:val="Style_42"/>
    <w:rPr>
      <w:rFonts w:ascii="XO Thames" w:hAnsi="XO Thames"/>
      <w:sz w:val="28"/>
    </w:rPr>
  </w:style>
  <w:style w:styleId="Style_3" w:type="paragraph">
    <w:name w:val="footnote reference"/>
    <w:link w:val="Style_3_ch"/>
    <w:rPr>
      <w:vertAlign w:val="superscript"/>
    </w:rPr>
  </w:style>
  <w:style w:styleId="Style_3_ch" w:type="character">
    <w:name w:val="footnote reference"/>
    <w:link w:val="Style_3"/>
    <w:rPr>
      <w:vertAlign w:val="superscript"/>
    </w:rPr>
  </w:style>
  <w:style w:styleId="Style_43" w:type="paragraph">
    <w:name w:val="Body Text Indent"/>
    <w:basedOn w:val="Style_6"/>
    <w:link w:val="Style_43_ch"/>
    <w:pPr>
      <w:ind w:firstLine="0" w:left="113"/>
    </w:pPr>
    <w:rPr>
      <w:color w:val="000000"/>
      <w:sz w:val="22"/>
    </w:rPr>
  </w:style>
  <w:style w:styleId="Style_43_ch" w:type="character">
    <w:name w:val="Body Text Indent"/>
    <w:basedOn w:val="Style_6_ch"/>
    <w:link w:val="Style_43"/>
    <w:rPr>
      <w:color w:val="000000"/>
      <w:sz w:val="22"/>
    </w:rPr>
  </w:style>
  <w:style w:styleId="Style_44" w:type="paragraph">
    <w:name w:val="Subtitle"/>
    <w:next w:val="Style_6"/>
    <w:link w:val="Style_44_ch"/>
    <w:uiPriority w:val="11"/>
    <w:qFormat/>
    <w:pPr>
      <w:ind/>
      <w:jc w:val="both"/>
    </w:pPr>
    <w:rPr>
      <w:rFonts w:ascii="XO Thames" w:hAnsi="XO Thames"/>
      <w:i w:val="1"/>
      <w:sz w:val="24"/>
    </w:rPr>
  </w:style>
  <w:style w:styleId="Style_44_ch" w:type="character">
    <w:name w:val="Subtitle"/>
    <w:link w:val="Style_44"/>
    <w:rPr>
      <w:rFonts w:ascii="XO Thames" w:hAnsi="XO Thames"/>
      <w:i w:val="1"/>
      <w:sz w:val="24"/>
    </w:rPr>
  </w:style>
  <w:style w:styleId="Style_45" w:type="paragraph">
    <w:name w:val="Title"/>
    <w:basedOn w:val="Style_6"/>
    <w:link w:val="Style_45_ch"/>
    <w:uiPriority w:val="10"/>
    <w:qFormat/>
    <w:pPr>
      <w:spacing w:line="288" w:lineRule="auto"/>
      <w:ind w:firstLine="4962" w:left="0"/>
      <w:jc w:val="center"/>
    </w:pPr>
    <w:rPr>
      <w:sz w:val="24"/>
    </w:rPr>
  </w:style>
  <w:style w:styleId="Style_45_ch" w:type="character">
    <w:name w:val="Title"/>
    <w:basedOn w:val="Style_6_ch"/>
    <w:link w:val="Style_45"/>
    <w:rPr>
      <w:sz w:val="24"/>
    </w:rPr>
  </w:style>
  <w:style w:styleId="Style_46" w:type="paragraph">
    <w:name w:val="heading 4"/>
    <w:basedOn w:val="Style_6"/>
    <w:next w:val="Style_6"/>
    <w:link w:val="Style_46_ch"/>
    <w:uiPriority w:val="9"/>
    <w:qFormat/>
    <w:pPr>
      <w:keepNext w:val="1"/>
      <w:keepLines w:val="1"/>
      <w:spacing w:before="200"/>
      <w:ind/>
      <w:outlineLvl w:val="3"/>
    </w:pPr>
    <w:rPr>
      <w:rFonts w:asciiTheme="majorAscii" w:hAnsiTheme="majorHAnsi"/>
      <w:b w:val="1"/>
      <w:i w:val="1"/>
      <w:color w:themeColor="accent1" w:val="4F81BD"/>
    </w:rPr>
  </w:style>
  <w:style w:styleId="Style_46_ch" w:type="character">
    <w:name w:val="heading 4"/>
    <w:basedOn w:val="Style_6_ch"/>
    <w:link w:val="Style_46"/>
    <w:rPr>
      <w:rFonts w:asciiTheme="majorAscii" w:hAnsiTheme="majorHAnsi"/>
      <w:b w:val="1"/>
      <w:i w:val="1"/>
      <w:color w:themeColor="accent1" w:val="4F81BD"/>
    </w:rPr>
  </w:style>
  <w:style w:styleId="Style_47" w:type="paragraph">
    <w:name w:val="heading 2"/>
    <w:basedOn w:val="Style_6"/>
    <w:next w:val="Style_6"/>
    <w:link w:val="Style_47_ch"/>
    <w:uiPriority w:val="9"/>
    <w:qFormat/>
    <w:pPr>
      <w:keepNext w:val="1"/>
      <w:numPr>
        <w:numId w:val="3"/>
      </w:numPr>
      <w:spacing w:line="264" w:lineRule="auto"/>
      <w:ind/>
      <w:jc w:val="center"/>
      <w:outlineLvl w:val="1"/>
    </w:pPr>
    <w:rPr>
      <w:b w:val="1"/>
      <w:sz w:val="28"/>
    </w:rPr>
  </w:style>
  <w:style w:styleId="Style_47_ch" w:type="character">
    <w:name w:val="heading 2"/>
    <w:basedOn w:val="Style_6_ch"/>
    <w:link w:val="Style_47"/>
    <w:rPr>
      <w:b w:val="1"/>
      <w:sz w:val="28"/>
    </w:rPr>
  </w:style>
  <w:style w:styleId="Style_4" w:type="paragraph">
    <w:name w:val="Body Text 2"/>
    <w:basedOn w:val="Style_6"/>
    <w:link w:val="Style_4_ch"/>
    <w:pPr>
      <w:tabs>
        <w:tab w:leader="none" w:pos="284" w:val="left"/>
      </w:tabs>
      <w:ind w:hanging="284" w:left="284"/>
      <w:jc w:val="both"/>
    </w:pPr>
    <w:rPr>
      <w:sz w:val="24"/>
    </w:rPr>
  </w:style>
  <w:style w:styleId="Style_4_ch" w:type="character">
    <w:name w:val="Body Text 2"/>
    <w:basedOn w:val="Style_6_ch"/>
    <w:link w:val="Style_4"/>
    <w:rPr>
      <w:sz w:val="24"/>
    </w:rPr>
  </w:style>
  <w:style w:styleId="Style_48" w:type="paragraph">
    <w:name w:val="Знак"/>
    <w:basedOn w:val="Style_6"/>
    <w:link w:val="Style_48_ch"/>
    <w:pPr>
      <w:spacing w:after="160" w:line="240" w:lineRule="exact"/>
      <w:ind/>
    </w:pPr>
    <w:rPr>
      <w:sz w:val="24"/>
    </w:rPr>
  </w:style>
  <w:style w:styleId="Style_48_ch" w:type="character">
    <w:name w:val="Знак"/>
    <w:basedOn w:val="Style_6_ch"/>
    <w:link w:val="Style_48"/>
    <w:rPr>
      <w:sz w:val="24"/>
    </w:rPr>
  </w:style>
  <w:style w:styleId="Style_49" w:type="table">
    <w:name w:val="Table Grid"/>
    <w:basedOn w:val="Style_5"/>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9" Target="numbering.xml" Type="http://schemas.openxmlformats.org/officeDocument/2006/relationships/numbering"/>
  <Relationship Id="rId8" Target="footnotes.xml" Type="http://schemas.openxmlformats.org/officeDocument/2006/relationships/footnote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header1.xml" Type="http://schemas.openxmlformats.org/officeDocument/2006/relationships/head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MyOffice-CoreFramework-Linux/28</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2025-02-03T04:57:09Z</dcterms:modified>
</cp:coreProperties>
</file>